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F8" w:rsidRDefault="00061B8E">
      <w:pPr>
        <w:spacing w:after="0" w:line="240" w:lineRule="auto"/>
        <w:rPr>
          <w:rFonts w:ascii="Play" w:eastAsia="Play" w:hAnsi="Play" w:cs="Play"/>
          <w:b/>
          <w:sz w:val="24"/>
          <w:szCs w:val="24"/>
        </w:rPr>
      </w:pPr>
      <w:r>
        <w:rPr>
          <w:rFonts w:ascii="Play" w:eastAsia="Play" w:hAnsi="Play" w:cs="Play"/>
          <w:b/>
          <w:sz w:val="24"/>
          <w:szCs w:val="24"/>
        </w:rPr>
        <w:t>CONTINGENCY PLANNING FOR COVID-19 OUTBREAK</w:t>
      </w:r>
      <w:r>
        <w:rPr>
          <w:noProof/>
        </w:rPr>
        <w:drawing>
          <wp:anchor distT="0" distB="0" distL="114300" distR="114300" simplePos="0" relativeHeight="251658240" behindDoc="0" locked="0" layoutInCell="1" hidden="0" allowOverlap="1">
            <wp:simplePos x="0" y="0"/>
            <wp:positionH relativeFrom="column">
              <wp:posOffset>8354084</wp:posOffset>
            </wp:positionH>
            <wp:positionV relativeFrom="paragraph">
              <wp:posOffset>190</wp:posOffset>
            </wp:positionV>
            <wp:extent cx="1354455" cy="82677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54455" cy="826770"/>
                    </a:xfrm>
                    <a:prstGeom prst="rect">
                      <a:avLst/>
                    </a:prstGeom>
                    <a:ln/>
                  </pic:spPr>
                </pic:pic>
              </a:graphicData>
            </a:graphic>
          </wp:anchor>
        </w:drawing>
      </w:r>
    </w:p>
    <w:p w:rsidR="00DC1BF8" w:rsidRDefault="00061B8E">
      <w:pPr>
        <w:spacing w:after="0" w:line="240" w:lineRule="auto"/>
        <w:rPr>
          <w:rFonts w:ascii="Play" w:eastAsia="Play" w:hAnsi="Play" w:cs="Play"/>
          <w:b/>
          <w:sz w:val="24"/>
          <w:szCs w:val="24"/>
        </w:rPr>
      </w:pPr>
      <w:r>
        <w:rPr>
          <w:rFonts w:ascii="Play" w:eastAsia="Play" w:hAnsi="Play" w:cs="Play"/>
          <w:b/>
          <w:sz w:val="24"/>
          <w:szCs w:val="24"/>
        </w:rPr>
        <w:t>GENDER-BASED VIOLENCE SUB-CLUSTER/WORKING GROUP</w:t>
      </w:r>
    </w:p>
    <w:p w:rsidR="00DC1BF8" w:rsidRDefault="00B02AC3">
      <w:pPr>
        <w:spacing w:after="0" w:line="240" w:lineRule="auto"/>
        <w:rPr>
          <w:rFonts w:ascii="Play" w:eastAsia="Play" w:hAnsi="Play" w:cs="Play"/>
          <w:b/>
          <w:sz w:val="24"/>
          <w:szCs w:val="24"/>
        </w:rPr>
      </w:pPr>
      <w:r>
        <w:rPr>
          <w:rFonts w:ascii="Play" w:eastAsia="Play" w:hAnsi="Play" w:cs="Play"/>
          <w:b/>
          <w:sz w:val="24"/>
          <w:szCs w:val="24"/>
        </w:rPr>
        <w:t>As of 1</w:t>
      </w:r>
      <w:r w:rsidR="007257F7">
        <w:rPr>
          <w:rFonts w:ascii="Play" w:eastAsia="Play" w:hAnsi="Play" w:cs="Play"/>
          <w:b/>
          <w:sz w:val="24"/>
          <w:szCs w:val="24"/>
        </w:rPr>
        <w:t>8</w:t>
      </w:r>
      <w:r w:rsidR="00061B8E">
        <w:rPr>
          <w:rFonts w:ascii="Play" w:eastAsia="Play" w:hAnsi="Play" w:cs="Play"/>
          <w:b/>
          <w:sz w:val="24"/>
          <w:szCs w:val="24"/>
        </w:rPr>
        <w:t xml:space="preserve"> March 2020</w:t>
      </w:r>
    </w:p>
    <w:p w:rsidR="00DC1BF8" w:rsidRDefault="00DC1BF8">
      <w:pPr>
        <w:spacing w:after="0" w:line="240" w:lineRule="auto"/>
        <w:rPr>
          <w:rFonts w:ascii="Play" w:eastAsia="Play" w:hAnsi="Play" w:cs="Play"/>
          <w:sz w:val="24"/>
          <w:szCs w:val="24"/>
        </w:rPr>
      </w:pPr>
    </w:p>
    <w:p w:rsidR="00DC1BF8" w:rsidRDefault="00061B8E">
      <w:pPr>
        <w:spacing w:after="0" w:line="240" w:lineRule="auto"/>
        <w:rPr>
          <w:rFonts w:ascii="Play" w:eastAsia="Play" w:hAnsi="Play" w:cs="Play"/>
          <w:b/>
          <w:sz w:val="24"/>
          <w:szCs w:val="24"/>
          <w:u w:val="single"/>
        </w:rPr>
      </w:pPr>
      <w:r>
        <w:rPr>
          <w:rFonts w:ascii="Play" w:eastAsia="Play" w:hAnsi="Play" w:cs="Play"/>
          <w:b/>
          <w:sz w:val="24"/>
          <w:szCs w:val="24"/>
          <w:u w:val="single"/>
        </w:rPr>
        <w:t>Proposed template</w:t>
      </w:r>
    </w:p>
    <w:p w:rsidR="00DC1BF8" w:rsidRDefault="00DC1BF8">
      <w:pPr>
        <w:spacing w:after="0" w:line="240" w:lineRule="auto"/>
        <w:rPr>
          <w:rFonts w:ascii="Play" w:eastAsia="Play" w:hAnsi="Play" w:cs="Play"/>
          <w:b/>
          <w:sz w:val="24"/>
          <w:szCs w:val="24"/>
          <w:u w:val="single"/>
        </w:rPr>
      </w:pPr>
    </w:p>
    <w:tbl>
      <w:tblPr>
        <w:tblStyle w:val="a1"/>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077"/>
        <w:gridCol w:w="3078"/>
        <w:gridCol w:w="3078"/>
        <w:gridCol w:w="3078"/>
      </w:tblGrid>
      <w:tr w:rsidR="00DC1BF8">
        <w:tc>
          <w:tcPr>
            <w:tcW w:w="3077" w:type="dxa"/>
          </w:tcPr>
          <w:p w:rsidR="00DC1BF8" w:rsidRDefault="00061B8E">
            <w:pPr>
              <w:jc w:val="center"/>
              <w:rPr>
                <w:rFonts w:ascii="Play" w:eastAsia="Play" w:hAnsi="Play" w:cs="Play"/>
                <w:b/>
                <w:sz w:val="24"/>
                <w:szCs w:val="24"/>
              </w:rPr>
            </w:pPr>
            <w:r>
              <w:rPr>
                <w:rFonts w:ascii="Play" w:eastAsia="Play" w:hAnsi="Play" w:cs="Play"/>
                <w:b/>
                <w:sz w:val="24"/>
                <w:szCs w:val="24"/>
              </w:rPr>
              <w:t>Activities</w:t>
            </w:r>
          </w:p>
        </w:tc>
        <w:tc>
          <w:tcPr>
            <w:tcW w:w="3077" w:type="dxa"/>
          </w:tcPr>
          <w:p w:rsidR="00DC1BF8" w:rsidRDefault="00061B8E">
            <w:pPr>
              <w:jc w:val="center"/>
              <w:rPr>
                <w:rFonts w:ascii="Play" w:eastAsia="Play" w:hAnsi="Play" w:cs="Play"/>
                <w:b/>
                <w:sz w:val="24"/>
                <w:szCs w:val="24"/>
              </w:rPr>
            </w:pPr>
            <w:r>
              <w:rPr>
                <w:rFonts w:ascii="Play" w:eastAsia="Play" w:hAnsi="Play" w:cs="Play"/>
                <w:b/>
                <w:sz w:val="24"/>
                <w:szCs w:val="24"/>
              </w:rPr>
              <w:t>Indicators and Targets</w:t>
            </w:r>
          </w:p>
        </w:tc>
        <w:tc>
          <w:tcPr>
            <w:tcW w:w="3078" w:type="dxa"/>
          </w:tcPr>
          <w:p w:rsidR="00DC1BF8" w:rsidRDefault="00061B8E">
            <w:pPr>
              <w:jc w:val="center"/>
              <w:rPr>
                <w:rFonts w:ascii="Play" w:eastAsia="Play" w:hAnsi="Play" w:cs="Play"/>
                <w:b/>
                <w:sz w:val="24"/>
                <w:szCs w:val="24"/>
              </w:rPr>
            </w:pPr>
            <w:r>
              <w:rPr>
                <w:rFonts w:ascii="Play" w:eastAsia="Play" w:hAnsi="Play" w:cs="Play"/>
                <w:b/>
                <w:sz w:val="24"/>
                <w:szCs w:val="24"/>
              </w:rPr>
              <w:t>Responsible Agencies</w:t>
            </w:r>
          </w:p>
        </w:tc>
        <w:tc>
          <w:tcPr>
            <w:tcW w:w="3078" w:type="dxa"/>
          </w:tcPr>
          <w:p w:rsidR="00DC1BF8" w:rsidRDefault="00061B8E">
            <w:pPr>
              <w:jc w:val="center"/>
              <w:rPr>
                <w:rFonts w:ascii="Play" w:eastAsia="Play" w:hAnsi="Play" w:cs="Play"/>
                <w:b/>
                <w:sz w:val="24"/>
                <w:szCs w:val="24"/>
              </w:rPr>
            </w:pPr>
            <w:r>
              <w:rPr>
                <w:rFonts w:ascii="Play" w:eastAsia="Play" w:hAnsi="Play" w:cs="Play"/>
                <w:b/>
                <w:sz w:val="24"/>
                <w:szCs w:val="24"/>
              </w:rPr>
              <w:t>Challenges/Gaps</w:t>
            </w:r>
          </w:p>
        </w:tc>
        <w:tc>
          <w:tcPr>
            <w:tcW w:w="3078" w:type="dxa"/>
          </w:tcPr>
          <w:p w:rsidR="00DC1BF8" w:rsidRDefault="00061B8E">
            <w:pPr>
              <w:jc w:val="center"/>
              <w:rPr>
                <w:rFonts w:ascii="Play" w:eastAsia="Play" w:hAnsi="Play" w:cs="Play"/>
                <w:b/>
                <w:sz w:val="24"/>
                <w:szCs w:val="24"/>
              </w:rPr>
            </w:pPr>
            <w:r>
              <w:rPr>
                <w:rFonts w:ascii="Play" w:eastAsia="Play" w:hAnsi="Play" w:cs="Play"/>
                <w:b/>
                <w:sz w:val="24"/>
                <w:szCs w:val="24"/>
              </w:rPr>
              <w:t>Proposed Actions to Address Gaps</w:t>
            </w:r>
          </w:p>
        </w:tc>
      </w:tr>
      <w:tr w:rsidR="00DC1BF8">
        <w:tc>
          <w:tcPr>
            <w:tcW w:w="3077" w:type="dxa"/>
          </w:tcPr>
          <w:p w:rsidR="00DC1BF8" w:rsidRDefault="00DC1BF8">
            <w:pPr>
              <w:rPr>
                <w:rFonts w:ascii="Play" w:eastAsia="Play" w:hAnsi="Play" w:cs="Play"/>
                <w:sz w:val="24"/>
                <w:szCs w:val="24"/>
              </w:rPr>
            </w:pPr>
          </w:p>
        </w:tc>
        <w:tc>
          <w:tcPr>
            <w:tcW w:w="3077"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DC1BF8">
            <w:pPr>
              <w:rPr>
                <w:rFonts w:ascii="Play" w:eastAsia="Play" w:hAnsi="Play" w:cs="Play"/>
                <w:sz w:val="24"/>
                <w:szCs w:val="24"/>
              </w:rPr>
            </w:pPr>
          </w:p>
        </w:tc>
        <w:tc>
          <w:tcPr>
            <w:tcW w:w="3077"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DC1BF8">
            <w:pPr>
              <w:rPr>
                <w:rFonts w:ascii="Play" w:eastAsia="Play" w:hAnsi="Play" w:cs="Play"/>
                <w:sz w:val="24"/>
                <w:szCs w:val="24"/>
              </w:rPr>
            </w:pPr>
          </w:p>
        </w:tc>
        <w:tc>
          <w:tcPr>
            <w:tcW w:w="3077"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DC1BF8">
            <w:pPr>
              <w:rPr>
                <w:rFonts w:ascii="Play" w:eastAsia="Play" w:hAnsi="Play" w:cs="Play"/>
                <w:sz w:val="24"/>
                <w:szCs w:val="24"/>
              </w:rPr>
            </w:pPr>
          </w:p>
        </w:tc>
        <w:tc>
          <w:tcPr>
            <w:tcW w:w="3077"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DC1BF8">
            <w:pPr>
              <w:rPr>
                <w:rFonts w:ascii="Play" w:eastAsia="Play" w:hAnsi="Play" w:cs="Play"/>
                <w:sz w:val="24"/>
                <w:szCs w:val="24"/>
              </w:rPr>
            </w:pPr>
          </w:p>
        </w:tc>
        <w:tc>
          <w:tcPr>
            <w:tcW w:w="3077"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DC1BF8">
            <w:pPr>
              <w:rPr>
                <w:rFonts w:ascii="Play" w:eastAsia="Play" w:hAnsi="Play" w:cs="Play"/>
                <w:sz w:val="24"/>
                <w:szCs w:val="24"/>
              </w:rPr>
            </w:pPr>
          </w:p>
        </w:tc>
        <w:tc>
          <w:tcPr>
            <w:tcW w:w="3077"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DC1BF8">
            <w:pPr>
              <w:rPr>
                <w:rFonts w:ascii="Play" w:eastAsia="Play" w:hAnsi="Play" w:cs="Play"/>
                <w:sz w:val="24"/>
                <w:szCs w:val="24"/>
              </w:rPr>
            </w:pPr>
          </w:p>
        </w:tc>
        <w:tc>
          <w:tcPr>
            <w:tcW w:w="3077"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bl>
    <w:p w:rsidR="00DC1BF8" w:rsidRDefault="00DC1BF8">
      <w:pPr>
        <w:spacing w:after="0" w:line="240" w:lineRule="auto"/>
        <w:rPr>
          <w:rFonts w:ascii="Play" w:eastAsia="Play" w:hAnsi="Play" w:cs="Play"/>
          <w:sz w:val="24"/>
          <w:szCs w:val="24"/>
        </w:rPr>
      </w:pPr>
    </w:p>
    <w:p w:rsidR="00DC1BF8" w:rsidRDefault="00DC1BF8">
      <w:pPr>
        <w:spacing w:line="240" w:lineRule="auto"/>
        <w:rPr>
          <w:rFonts w:ascii="Play" w:eastAsia="Play" w:hAnsi="Play" w:cs="Play"/>
          <w:sz w:val="24"/>
          <w:szCs w:val="24"/>
        </w:rPr>
      </w:pPr>
    </w:p>
    <w:p w:rsidR="00DC1BF8" w:rsidRDefault="00061B8E">
      <w:pPr>
        <w:spacing w:after="0" w:line="240" w:lineRule="auto"/>
        <w:rPr>
          <w:rFonts w:ascii="Play" w:eastAsia="Play" w:hAnsi="Play" w:cs="Play"/>
          <w:b/>
          <w:sz w:val="24"/>
          <w:szCs w:val="24"/>
          <w:u w:val="single"/>
        </w:rPr>
      </w:pPr>
      <w:r>
        <w:rPr>
          <w:rFonts w:ascii="Play" w:eastAsia="Play" w:hAnsi="Play" w:cs="Play"/>
          <w:b/>
          <w:sz w:val="24"/>
          <w:szCs w:val="24"/>
          <w:u w:val="single"/>
        </w:rPr>
        <w:t xml:space="preserve">Menu of prospective preparedness activities and </w:t>
      </w:r>
      <w:r w:rsidR="00D778F9">
        <w:rPr>
          <w:rFonts w:ascii="Play" w:eastAsia="Play" w:hAnsi="Play" w:cs="Play"/>
          <w:b/>
          <w:sz w:val="24"/>
          <w:szCs w:val="24"/>
          <w:u w:val="single"/>
        </w:rPr>
        <w:t>indicators (</w:t>
      </w:r>
      <w:r>
        <w:rPr>
          <w:rFonts w:ascii="Play" w:eastAsia="Play" w:hAnsi="Play" w:cs="Play"/>
          <w:b/>
          <w:sz w:val="24"/>
          <w:szCs w:val="24"/>
          <w:u w:val="single"/>
        </w:rPr>
        <w:t>for contextualization at national and sub-national levels)</w:t>
      </w:r>
    </w:p>
    <w:p w:rsidR="00DC1BF8" w:rsidRDefault="00DC1BF8">
      <w:pPr>
        <w:spacing w:after="0" w:line="240" w:lineRule="auto"/>
        <w:rPr>
          <w:rFonts w:ascii="Play" w:eastAsia="Play" w:hAnsi="Play" w:cs="Play"/>
          <w:sz w:val="24"/>
          <w:szCs w:val="24"/>
        </w:rPr>
      </w:pPr>
    </w:p>
    <w:p w:rsidR="00DC1BF8" w:rsidRDefault="00061B8E">
      <w:pPr>
        <w:spacing w:after="0" w:line="240" w:lineRule="auto"/>
        <w:rPr>
          <w:rFonts w:ascii="Play" w:eastAsia="Play" w:hAnsi="Play" w:cs="Play"/>
          <w:sz w:val="24"/>
          <w:szCs w:val="24"/>
        </w:rPr>
      </w:pPr>
      <w:r>
        <w:rPr>
          <w:rFonts w:ascii="Play" w:eastAsia="Play" w:hAnsi="Play" w:cs="Play"/>
          <w:sz w:val="24"/>
          <w:szCs w:val="24"/>
        </w:rPr>
        <w:t>WHO has defined four transmission scenarios for COVID</w:t>
      </w:r>
      <w:r w:rsidR="003F7CA9">
        <w:rPr>
          <w:rFonts w:ascii="Play" w:eastAsia="Play" w:hAnsi="Play" w:cs="Play"/>
          <w:sz w:val="24"/>
          <w:szCs w:val="24"/>
        </w:rPr>
        <w:t>-</w:t>
      </w:r>
      <w:proofErr w:type="gramStart"/>
      <w:r>
        <w:rPr>
          <w:rFonts w:ascii="Play" w:eastAsia="Play" w:hAnsi="Play" w:cs="Play"/>
          <w:sz w:val="24"/>
          <w:szCs w:val="24"/>
        </w:rPr>
        <w:t>19:</w:t>
      </w:r>
      <w:proofErr w:type="gramEnd"/>
      <w:r>
        <w:rPr>
          <w:rFonts w:ascii="Play" w:eastAsia="Play" w:hAnsi="Play" w:cs="Play"/>
          <w:sz w:val="24"/>
          <w:szCs w:val="24"/>
          <w:vertAlign w:val="superscript"/>
        </w:rPr>
        <w:footnoteReference w:id="1"/>
      </w:r>
      <w:r>
        <w:rPr>
          <w:rFonts w:ascii="Play" w:eastAsia="Play" w:hAnsi="Play" w:cs="Play"/>
          <w:sz w:val="24"/>
          <w:szCs w:val="24"/>
        </w:rPr>
        <w:t xml:space="preserve"> </w:t>
      </w:r>
    </w:p>
    <w:p w:rsidR="00DC1BF8" w:rsidRDefault="00061B8E">
      <w:pPr>
        <w:spacing w:after="0" w:line="240" w:lineRule="auto"/>
        <w:rPr>
          <w:rFonts w:ascii="Play" w:eastAsia="Play" w:hAnsi="Play" w:cs="Play"/>
          <w:sz w:val="24"/>
          <w:szCs w:val="24"/>
        </w:rPr>
      </w:pPr>
      <w:r>
        <w:rPr>
          <w:rFonts w:ascii="Play" w:eastAsia="Play" w:hAnsi="Play" w:cs="Play"/>
          <w:sz w:val="24"/>
          <w:szCs w:val="24"/>
        </w:rPr>
        <w:t xml:space="preserve">1. Countries with no cases (No Cases); </w:t>
      </w:r>
    </w:p>
    <w:p w:rsidR="00DC1BF8" w:rsidRDefault="00061B8E">
      <w:pPr>
        <w:spacing w:after="0" w:line="240" w:lineRule="auto"/>
        <w:rPr>
          <w:rFonts w:ascii="Play" w:eastAsia="Play" w:hAnsi="Play" w:cs="Play"/>
          <w:sz w:val="24"/>
          <w:szCs w:val="24"/>
        </w:rPr>
      </w:pPr>
      <w:r>
        <w:rPr>
          <w:rFonts w:ascii="Play" w:eastAsia="Play" w:hAnsi="Play" w:cs="Play"/>
          <w:sz w:val="24"/>
          <w:szCs w:val="24"/>
        </w:rPr>
        <w:t xml:space="preserve">2. Countries with 1 or more cases, imported or locally detected (Sporadic Cases); </w:t>
      </w:r>
    </w:p>
    <w:p w:rsidR="00DC1BF8" w:rsidRDefault="00061B8E">
      <w:pPr>
        <w:spacing w:after="0" w:line="240" w:lineRule="auto"/>
        <w:rPr>
          <w:rFonts w:ascii="Play" w:eastAsia="Play" w:hAnsi="Play" w:cs="Play"/>
          <w:sz w:val="24"/>
          <w:szCs w:val="24"/>
        </w:rPr>
      </w:pPr>
      <w:r>
        <w:rPr>
          <w:rFonts w:ascii="Play" w:eastAsia="Play" w:hAnsi="Play" w:cs="Play"/>
          <w:sz w:val="24"/>
          <w:szCs w:val="24"/>
        </w:rPr>
        <w:t xml:space="preserve">3. Countries experiencing cases clusters in time, geographic location and/or common exposure (Clusters of cases); </w:t>
      </w:r>
    </w:p>
    <w:p w:rsidR="00DC1BF8" w:rsidRDefault="00061B8E">
      <w:pPr>
        <w:spacing w:after="0" w:line="240" w:lineRule="auto"/>
        <w:rPr>
          <w:rFonts w:ascii="Play" w:eastAsia="Play" w:hAnsi="Play" w:cs="Play"/>
          <w:sz w:val="24"/>
          <w:szCs w:val="24"/>
        </w:rPr>
      </w:pPr>
      <w:r>
        <w:rPr>
          <w:rFonts w:ascii="Play" w:eastAsia="Play" w:hAnsi="Play" w:cs="Play"/>
          <w:sz w:val="24"/>
          <w:szCs w:val="24"/>
        </w:rPr>
        <w:t xml:space="preserve">4. Countries experiencing larger outbreaks of local transmission (Community transmission). </w:t>
      </w:r>
    </w:p>
    <w:p w:rsidR="00DC1BF8" w:rsidRDefault="00DC1BF8">
      <w:pPr>
        <w:spacing w:after="0" w:line="240" w:lineRule="auto"/>
        <w:rPr>
          <w:rFonts w:ascii="Play" w:eastAsia="Play" w:hAnsi="Play" w:cs="Play"/>
          <w:sz w:val="24"/>
          <w:szCs w:val="24"/>
        </w:rPr>
      </w:pPr>
    </w:p>
    <w:tbl>
      <w:tblPr>
        <w:tblStyle w:val="a2"/>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077"/>
        <w:gridCol w:w="3078"/>
        <w:gridCol w:w="3078"/>
        <w:gridCol w:w="3078"/>
      </w:tblGrid>
      <w:tr w:rsidR="00DC1BF8" w:rsidTr="00846576">
        <w:trPr>
          <w:tblHeader/>
        </w:trPr>
        <w:tc>
          <w:tcPr>
            <w:tcW w:w="3077" w:type="dxa"/>
          </w:tcPr>
          <w:p w:rsidR="00DC1BF8" w:rsidRDefault="00061B8E">
            <w:pPr>
              <w:jc w:val="center"/>
              <w:rPr>
                <w:rFonts w:ascii="Play" w:eastAsia="Play" w:hAnsi="Play" w:cs="Play"/>
                <w:b/>
                <w:sz w:val="24"/>
                <w:szCs w:val="24"/>
              </w:rPr>
            </w:pPr>
            <w:r>
              <w:rPr>
                <w:rFonts w:ascii="Play" w:eastAsia="Play" w:hAnsi="Play" w:cs="Play"/>
                <w:b/>
                <w:sz w:val="24"/>
                <w:szCs w:val="24"/>
              </w:rPr>
              <w:t>Activities</w:t>
            </w:r>
          </w:p>
        </w:tc>
        <w:tc>
          <w:tcPr>
            <w:tcW w:w="3077" w:type="dxa"/>
          </w:tcPr>
          <w:p w:rsidR="00DC1BF8" w:rsidRDefault="00061B8E">
            <w:pPr>
              <w:jc w:val="center"/>
              <w:rPr>
                <w:rFonts w:ascii="Play" w:eastAsia="Play" w:hAnsi="Play" w:cs="Play"/>
                <w:b/>
                <w:sz w:val="24"/>
                <w:szCs w:val="24"/>
              </w:rPr>
            </w:pPr>
            <w:r>
              <w:rPr>
                <w:rFonts w:ascii="Play" w:eastAsia="Play" w:hAnsi="Play" w:cs="Play"/>
                <w:b/>
                <w:sz w:val="24"/>
                <w:szCs w:val="24"/>
              </w:rPr>
              <w:t>Preparedness Indicators and Targets</w:t>
            </w:r>
          </w:p>
        </w:tc>
        <w:tc>
          <w:tcPr>
            <w:tcW w:w="3078" w:type="dxa"/>
          </w:tcPr>
          <w:p w:rsidR="00DC1BF8" w:rsidRDefault="00061B8E">
            <w:pPr>
              <w:jc w:val="center"/>
              <w:rPr>
                <w:rFonts w:ascii="Play" w:eastAsia="Play" w:hAnsi="Play" w:cs="Play"/>
                <w:b/>
                <w:sz w:val="24"/>
                <w:szCs w:val="24"/>
              </w:rPr>
            </w:pPr>
            <w:r>
              <w:rPr>
                <w:rFonts w:ascii="Play" w:eastAsia="Play" w:hAnsi="Play" w:cs="Play"/>
                <w:b/>
                <w:sz w:val="24"/>
                <w:szCs w:val="24"/>
              </w:rPr>
              <w:t>Responsible Agencies</w:t>
            </w:r>
          </w:p>
        </w:tc>
        <w:tc>
          <w:tcPr>
            <w:tcW w:w="3078" w:type="dxa"/>
          </w:tcPr>
          <w:p w:rsidR="00DC1BF8" w:rsidRDefault="00061B8E">
            <w:pPr>
              <w:jc w:val="center"/>
              <w:rPr>
                <w:rFonts w:ascii="Play" w:eastAsia="Play" w:hAnsi="Play" w:cs="Play"/>
                <w:b/>
                <w:sz w:val="24"/>
                <w:szCs w:val="24"/>
              </w:rPr>
            </w:pPr>
            <w:r>
              <w:rPr>
                <w:rFonts w:ascii="Play" w:eastAsia="Play" w:hAnsi="Play" w:cs="Play"/>
                <w:b/>
                <w:sz w:val="24"/>
                <w:szCs w:val="24"/>
              </w:rPr>
              <w:t>Challenges/Gaps</w:t>
            </w:r>
          </w:p>
        </w:tc>
        <w:tc>
          <w:tcPr>
            <w:tcW w:w="3078" w:type="dxa"/>
          </w:tcPr>
          <w:p w:rsidR="00DC1BF8" w:rsidRDefault="00061B8E">
            <w:pPr>
              <w:jc w:val="center"/>
              <w:rPr>
                <w:rFonts w:ascii="Play" w:eastAsia="Play" w:hAnsi="Play" w:cs="Play"/>
                <w:b/>
                <w:sz w:val="24"/>
                <w:szCs w:val="24"/>
              </w:rPr>
            </w:pPr>
            <w:r>
              <w:rPr>
                <w:rFonts w:ascii="Play" w:eastAsia="Play" w:hAnsi="Play" w:cs="Play"/>
                <w:b/>
                <w:sz w:val="24"/>
                <w:szCs w:val="24"/>
              </w:rPr>
              <w:t>Proposed Actions to Address Gaps</w:t>
            </w:r>
          </w:p>
        </w:tc>
      </w:tr>
      <w:tr w:rsidR="00DC1BF8">
        <w:tc>
          <w:tcPr>
            <w:tcW w:w="3077" w:type="dxa"/>
          </w:tcPr>
          <w:p w:rsidR="00DC1BF8" w:rsidRDefault="00061B8E">
            <w:pPr>
              <w:rPr>
                <w:rFonts w:ascii="Play" w:eastAsia="Play" w:hAnsi="Play" w:cs="Play"/>
                <w:b/>
                <w:sz w:val="24"/>
                <w:szCs w:val="24"/>
              </w:rPr>
            </w:pPr>
            <w:r>
              <w:rPr>
                <w:rFonts w:ascii="Play" w:eastAsia="Play" w:hAnsi="Play" w:cs="Play"/>
                <w:b/>
                <w:sz w:val="24"/>
                <w:szCs w:val="24"/>
              </w:rPr>
              <w:t>GBV REFERRAL PATHWAY</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lastRenderedPageBreak/>
              <w:t>Life-saving care and support to GBV survivors (i.e. clinical management of rape and mental health and psycho-social support) may be disrupted in one-stop crisis centers in tertiary level hospitals when health service providers are overburdened and preoccupied with handling COVID-19 cases.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Legal/</w:t>
            </w:r>
            <w:r w:rsidR="00E458FC">
              <w:rPr>
                <w:rFonts w:ascii="Play" w:eastAsia="Play" w:hAnsi="Play" w:cs="Play"/>
                <w:sz w:val="24"/>
                <w:szCs w:val="24"/>
              </w:rPr>
              <w:t>security services</w:t>
            </w:r>
            <w:r>
              <w:rPr>
                <w:rFonts w:ascii="Play" w:eastAsia="Play" w:hAnsi="Play" w:cs="Play"/>
                <w:sz w:val="24"/>
                <w:szCs w:val="24"/>
              </w:rPr>
              <w:t xml:space="preserve"> may be disrupted as police and other security actors </w:t>
            </w:r>
            <w:r w:rsidR="00846576">
              <w:rPr>
                <w:rFonts w:ascii="Play" w:eastAsia="Play" w:hAnsi="Play" w:cs="Play"/>
                <w:sz w:val="24"/>
                <w:szCs w:val="24"/>
              </w:rPr>
              <w:t>mobilize</w:t>
            </w:r>
            <w:r>
              <w:rPr>
                <w:rFonts w:ascii="Play" w:eastAsia="Play" w:hAnsi="Play" w:cs="Play"/>
                <w:sz w:val="24"/>
                <w:szCs w:val="24"/>
              </w:rPr>
              <w:t xml:space="preserve"> for COVID response. Courts may </w:t>
            </w:r>
            <w:r w:rsidR="00E458FC">
              <w:rPr>
                <w:rFonts w:ascii="Play" w:eastAsia="Play" w:hAnsi="Play" w:cs="Play"/>
                <w:sz w:val="24"/>
                <w:szCs w:val="24"/>
              </w:rPr>
              <w:t>be working</w:t>
            </w:r>
            <w:r>
              <w:rPr>
                <w:rFonts w:ascii="Play" w:eastAsia="Play" w:hAnsi="Play" w:cs="Play"/>
                <w:sz w:val="24"/>
                <w:szCs w:val="24"/>
              </w:rPr>
              <w:t xml:space="preserve"> with limited resources or restricted access.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Primary and secondary health care facilities may be requested to take on the caseload of GBV survivors and only refer to tertiary hospitals when a higher level of care is needed.</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ACTION: Update GBV referral pathways to reflect primary and secondary health </w:t>
            </w:r>
            <w:r>
              <w:rPr>
                <w:rFonts w:ascii="Play" w:eastAsia="Play" w:hAnsi="Play" w:cs="Play"/>
                <w:sz w:val="24"/>
                <w:szCs w:val="24"/>
              </w:rPr>
              <w:lastRenderedPageBreak/>
              <w:t xml:space="preserve">care facilities (or other relevant facilities). Update any changes related to </w:t>
            </w:r>
            <w:r w:rsidR="00E458FC">
              <w:rPr>
                <w:rFonts w:ascii="Play" w:eastAsia="Play" w:hAnsi="Play" w:cs="Play"/>
                <w:sz w:val="24"/>
                <w:szCs w:val="24"/>
              </w:rPr>
              <w:t>provision of</w:t>
            </w:r>
            <w:r>
              <w:rPr>
                <w:rFonts w:ascii="Play" w:eastAsia="Play" w:hAnsi="Play" w:cs="Play"/>
                <w:sz w:val="24"/>
                <w:szCs w:val="24"/>
              </w:rPr>
              <w:t xml:space="preserve"> legal/security services.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Ensure dissemination of the pathways to key communities and service providers. Where feasible and safe may integrate IEC materials on updated referral information / hotline information into COVID-19 screening facilities / desks.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In IDP/camp settings, health service may be overloaded and other entry points identified or restructured, including mobile services. Update pathways to reflect any changes to entry points or service delivery modalities.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Train frontline workers, particularly at </w:t>
            </w:r>
            <w:r w:rsidR="00846576">
              <w:rPr>
                <w:rFonts w:ascii="Play" w:eastAsia="Play" w:hAnsi="Play" w:cs="Play"/>
                <w:sz w:val="24"/>
                <w:szCs w:val="24"/>
              </w:rPr>
              <w:t>health or</w:t>
            </w:r>
            <w:r>
              <w:rPr>
                <w:rFonts w:ascii="Play" w:eastAsia="Play" w:hAnsi="Play" w:cs="Play"/>
                <w:sz w:val="24"/>
                <w:szCs w:val="24"/>
              </w:rPr>
              <w:t xml:space="preserve"> screening facilities</w:t>
            </w:r>
            <w:r w:rsidR="00846576">
              <w:rPr>
                <w:rFonts w:ascii="Play" w:eastAsia="Play" w:hAnsi="Play" w:cs="Play"/>
                <w:sz w:val="24"/>
                <w:szCs w:val="24"/>
              </w:rPr>
              <w:t>, on</w:t>
            </w:r>
            <w:r>
              <w:rPr>
                <w:rFonts w:ascii="Play" w:eastAsia="Play" w:hAnsi="Play" w:cs="Play"/>
                <w:sz w:val="24"/>
                <w:szCs w:val="24"/>
              </w:rPr>
              <w:t xml:space="preserve"> safe referrals (may include remote training).</w:t>
            </w:r>
          </w:p>
          <w:p w:rsidR="00DC1BF8" w:rsidRDefault="00DC1BF8">
            <w:pPr>
              <w:rPr>
                <w:color w:val="000000"/>
                <w:sz w:val="24"/>
                <w:szCs w:val="24"/>
              </w:rPr>
            </w:pPr>
          </w:p>
        </w:tc>
        <w:tc>
          <w:tcPr>
            <w:tcW w:w="3077" w:type="dxa"/>
          </w:tcPr>
          <w:p w:rsidR="00DC1BF8" w:rsidRDefault="00061B8E">
            <w:pPr>
              <w:rPr>
                <w:rFonts w:ascii="Play" w:eastAsia="Play" w:hAnsi="Play" w:cs="Play"/>
                <w:sz w:val="24"/>
                <w:szCs w:val="24"/>
              </w:rPr>
            </w:pPr>
            <w:r>
              <w:rPr>
                <w:rFonts w:ascii="Play" w:eastAsia="Play" w:hAnsi="Play" w:cs="Play"/>
                <w:sz w:val="24"/>
                <w:szCs w:val="24"/>
              </w:rPr>
              <w:lastRenderedPageBreak/>
              <w:t xml:space="preserve">Service mapping and / or standard operating procedures established. </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lastRenderedPageBreak/>
              <w:t xml:space="preserve"># </w:t>
            </w:r>
            <w:proofErr w:type="gramStart"/>
            <w:r>
              <w:rPr>
                <w:rFonts w:ascii="Play" w:eastAsia="Play" w:hAnsi="Play" w:cs="Play"/>
                <w:sz w:val="24"/>
                <w:szCs w:val="24"/>
              </w:rPr>
              <w:t>or</w:t>
            </w:r>
            <w:proofErr w:type="gramEnd"/>
            <w:r>
              <w:rPr>
                <w:rFonts w:ascii="Play" w:eastAsia="Play" w:hAnsi="Play" w:cs="Play"/>
                <w:sz w:val="24"/>
                <w:szCs w:val="24"/>
              </w:rPr>
              <w:t xml:space="preserve"> % of  Referral pathways in place and regularly updated.</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 </w:t>
            </w:r>
            <w:proofErr w:type="gramStart"/>
            <w:r>
              <w:rPr>
                <w:rFonts w:ascii="Play" w:eastAsia="Play" w:hAnsi="Play" w:cs="Play"/>
                <w:sz w:val="24"/>
                <w:szCs w:val="24"/>
              </w:rPr>
              <w:t>or</w:t>
            </w:r>
            <w:proofErr w:type="gramEnd"/>
            <w:r>
              <w:rPr>
                <w:rFonts w:ascii="Play" w:eastAsia="Play" w:hAnsi="Play" w:cs="Play"/>
                <w:sz w:val="24"/>
                <w:szCs w:val="24"/>
              </w:rPr>
              <w:t xml:space="preserve"> % of relevant  locations (such as health facilities)  with staff trained on safe referrals.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of GBV frontline service providers with personal protective equipment (PPE) supplies such as gloves, medical masks, respirators, goggles, face shields, gowns, and aprons.</w:t>
            </w:r>
            <w:r>
              <w:rPr>
                <w:rFonts w:ascii="Play" w:eastAsia="Play" w:hAnsi="Play" w:cs="Play"/>
                <w:sz w:val="24"/>
                <w:szCs w:val="24"/>
                <w:vertAlign w:val="superscript"/>
              </w:rPr>
              <w:footnoteReference w:id="2"/>
            </w: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061B8E">
            <w:pPr>
              <w:rPr>
                <w:rFonts w:ascii="Play" w:eastAsia="Play" w:hAnsi="Play" w:cs="Play"/>
                <w:sz w:val="24"/>
                <w:szCs w:val="24"/>
              </w:rPr>
            </w:pPr>
            <w:r>
              <w:rPr>
                <w:rFonts w:ascii="Play" w:eastAsia="Play" w:hAnsi="Play" w:cs="Play"/>
                <w:b/>
                <w:sz w:val="24"/>
                <w:szCs w:val="24"/>
              </w:rPr>
              <w:lastRenderedPageBreak/>
              <w:t>PROVIDE MENTAL HEALTH AND PSYCHOSOCIAL SUPPORT</w:t>
            </w:r>
            <w:r>
              <w:rPr>
                <w:rFonts w:ascii="Play" w:eastAsia="Play" w:hAnsi="Play" w:cs="Play"/>
                <w:sz w:val="24"/>
                <w:szCs w:val="24"/>
              </w:rPr>
              <w:t>.</w:t>
            </w:r>
            <w:r>
              <w:rPr>
                <w:rFonts w:ascii="Play" w:eastAsia="Play" w:hAnsi="Play" w:cs="Play"/>
                <w:sz w:val="24"/>
                <w:szCs w:val="24"/>
                <w:vertAlign w:val="superscript"/>
              </w:rPr>
              <w:footnoteReference w:id="3"/>
            </w:r>
            <w:r>
              <w:rPr>
                <w:rFonts w:ascii="Play" w:eastAsia="Play" w:hAnsi="Play" w:cs="Play"/>
                <w:sz w:val="24"/>
                <w:szCs w:val="24"/>
              </w:rPr>
              <w:t xml:space="preserve"> </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Fear of losing livelihoods, not being able to work during isolation, and of being dismissed from work may increase household tensions, which in turn, may contribute to increased risks of intimate partner violence and other forms of GBV which requires referral and immediate PSS, among other services.</w:t>
            </w: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ACTION: Explore alternative modes of delivery further to implementation of mitigation strategies to slow the spread of the virus ranging from restrictions of movements, school closure, </w:t>
            </w:r>
            <w:r>
              <w:rPr>
                <w:rFonts w:ascii="Play" w:eastAsia="Play" w:hAnsi="Play" w:cs="Play"/>
                <w:sz w:val="24"/>
                <w:szCs w:val="24"/>
              </w:rPr>
              <w:lastRenderedPageBreak/>
              <w:t xml:space="preserve">events cancellations and social distancing. </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Alternative modes of delivery:</w:t>
            </w:r>
          </w:p>
          <w:p w:rsidR="00DC1BF8" w:rsidRDefault="00061B8E">
            <w:pPr>
              <w:numPr>
                <w:ilvl w:val="0"/>
                <w:numId w:val="2"/>
              </w:numPr>
              <w:pBdr>
                <w:top w:val="nil"/>
                <w:left w:val="nil"/>
                <w:bottom w:val="nil"/>
                <w:right w:val="nil"/>
                <w:between w:val="nil"/>
              </w:pBdr>
              <w:spacing w:line="259" w:lineRule="auto"/>
              <w:ind w:left="360"/>
              <w:rPr>
                <w:rFonts w:ascii="Play" w:eastAsia="Play" w:hAnsi="Play" w:cs="Play"/>
                <w:color w:val="000000"/>
                <w:sz w:val="24"/>
                <w:szCs w:val="24"/>
              </w:rPr>
            </w:pPr>
            <w:r>
              <w:rPr>
                <w:rFonts w:ascii="Play" w:eastAsia="Play" w:hAnsi="Play" w:cs="Play"/>
                <w:color w:val="000000"/>
                <w:sz w:val="24"/>
                <w:szCs w:val="24"/>
              </w:rPr>
              <w:t>Telephone hotlines (accessible by both landline and mobile  phones; free of charge or toll free)</w:t>
            </w:r>
          </w:p>
          <w:p w:rsidR="00DC1BF8" w:rsidRDefault="00061B8E">
            <w:pPr>
              <w:numPr>
                <w:ilvl w:val="0"/>
                <w:numId w:val="2"/>
              </w:numPr>
              <w:pBdr>
                <w:top w:val="nil"/>
                <w:left w:val="nil"/>
                <w:bottom w:val="nil"/>
                <w:right w:val="nil"/>
                <w:between w:val="nil"/>
              </w:pBdr>
              <w:spacing w:after="160" w:line="259" w:lineRule="auto"/>
              <w:ind w:left="360"/>
              <w:rPr>
                <w:rFonts w:ascii="Play" w:eastAsia="Play" w:hAnsi="Play" w:cs="Play"/>
                <w:color w:val="000000"/>
                <w:sz w:val="24"/>
                <w:szCs w:val="24"/>
              </w:rPr>
            </w:pPr>
            <w:r>
              <w:rPr>
                <w:rFonts w:ascii="Play" w:eastAsia="Play" w:hAnsi="Play" w:cs="Play"/>
                <w:color w:val="000000"/>
                <w:sz w:val="24"/>
                <w:szCs w:val="24"/>
              </w:rPr>
              <w:t>Social networking apps like WhatsApp, Viber</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Determine the hours of operation and anticipate volume of calls to inform staffing requirements. </w:t>
            </w:r>
          </w:p>
          <w:p w:rsidR="00DC1BF8" w:rsidRDefault="00DC1BF8">
            <w:pPr>
              <w:rPr>
                <w:rFonts w:ascii="Play" w:eastAsia="Play" w:hAnsi="Play" w:cs="Play"/>
                <w:sz w:val="24"/>
                <w:szCs w:val="24"/>
              </w:rPr>
            </w:pPr>
          </w:p>
          <w:p w:rsidR="00DC1BF8" w:rsidRDefault="00061B8E">
            <w:pPr>
              <w:pBdr>
                <w:top w:val="nil"/>
                <w:left w:val="nil"/>
                <w:bottom w:val="nil"/>
                <w:right w:val="nil"/>
                <w:between w:val="nil"/>
              </w:pBdr>
              <w:rPr>
                <w:rFonts w:ascii="Play" w:eastAsia="Play" w:hAnsi="Play" w:cs="Play"/>
                <w:color w:val="000000"/>
                <w:sz w:val="24"/>
                <w:szCs w:val="24"/>
              </w:rPr>
            </w:pPr>
            <w:r>
              <w:rPr>
                <w:rFonts w:ascii="Play" w:eastAsia="Play" w:hAnsi="Play" w:cs="Play"/>
                <w:color w:val="000000"/>
                <w:sz w:val="24"/>
                <w:szCs w:val="24"/>
              </w:rPr>
              <w:t xml:space="preserve">It is important to ensure that hotline staff/volunteers are trained and supervised in MHPSS (e.g. Psychological First Aid) and have current information about the COVID-19 outbreak and up-to-date information on available services for GBV survivors to avoid undue harm to callers. </w:t>
            </w:r>
          </w:p>
          <w:p w:rsidR="00DC1BF8" w:rsidRDefault="00DC1BF8">
            <w:pPr>
              <w:pBdr>
                <w:top w:val="nil"/>
                <w:left w:val="nil"/>
                <w:bottom w:val="nil"/>
                <w:right w:val="nil"/>
                <w:between w:val="nil"/>
              </w:pBdr>
              <w:rPr>
                <w:rFonts w:ascii="Play" w:eastAsia="Play" w:hAnsi="Play" w:cs="Play"/>
                <w:color w:val="000000"/>
                <w:sz w:val="24"/>
                <w:szCs w:val="24"/>
              </w:rPr>
            </w:pPr>
          </w:p>
        </w:tc>
        <w:tc>
          <w:tcPr>
            <w:tcW w:w="3077" w:type="dxa"/>
          </w:tcPr>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Mapping or assessment of remote </w:t>
            </w:r>
            <w:proofErr w:type="spellStart"/>
            <w:r>
              <w:rPr>
                <w:rFonts w:ascii="Play" w:eastAsia="Play" w:hAnsi="Play" w:cs="Play"/>
                <w:sz w:val="24"/>
                <w:szCs w:val="24"/>
              </w:rPr>
              <w:t>programme</w:t>
            </w:r>
            <w:proofErr w:type="spellEnd"/>
            <w:r>
              <w:rPr>
                <w:rFonts w:ascii="Play" w:eastAsia="Play" w:hAnsi="Play" w:cs="Play"/>
                <w:sz w:val="24"/>
                <w:szCs w:val="24"/>
              </w:rPr>
              <w:t xml:space="preserve"> delivery options in place and incorporated into referral pathways or programmatic interventions (Y/N or in # or percent of affected locations)</w:t>
            </w: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 of staff available and / or trained  for remote GBV </w:t>
            </w:r>
            <w:proofErr w:type="spellStart"/>
            <w:r>
              <w:rPr>
                <w:rFonts w:ascii="Play" w:eastAsia="Play" w:hAnsi="Play" w:cs="Play"/>
                <w:sz w:val="24"/>
                <w:szCs w:val="24"/>
              </w:rPr>
              <w:t>programme</w:t>
            </w:r>
            <w:proofErr w:type="spellEnd"/>
            <w:r>
              <w:rPr>
                <w:rFonts w:ascii="Play" w:eastAsia="Play" w:hAnsi="Play" w:cs="Play"/>
                <w:sz w:val="24"/>
                <w:szCs w:val="24"/>
              </w:rPr>
              <w:t xml:space="preserve"> delivery</w:t>
            </w: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Number or percentage of women and girls/women and children (disaggregated by age, sex, disability) who have access to MHPSS  in COVID-19 affected areas</w:t>
            </w:r>
          </w:p>
        </w:tc>
        <w:tc>
          <w:tcPr>
            <w:tcW w:w="3078" w:type="dxa"/>
          </w:tcPr>
          <w:p w:rsidR="00DC1BF8" w:rsidRDefault="00061B8E">
            <w:pPr>
              <w:rPr>
                <w:rFonts w:ascii="Play" w:eastAsia="Play" w:hAnsi="Play" w:cs="Play"/>
                <w:sz w:val="24"/>
                <w:szCs w:val="24"/>
              </w:rPr>
            </w:pPr>
            <w:r>
              <w:rPr>
                <w:rFonts w:ascii="Play" w:eastAsia="Play" w:hAnsi="Play" w:cs="Play"/>
                <w:sz w:val="24"/>
                <w:szCs w:val="24"/>
              </w:rPr>
              <w:t>Ministry of Health</w:t>
            </w: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tc>
        <w:tc>
          <w:tcPr>
            <w:tcW w:w="3078" w:type="dxa"/>
          </w:tcPr>
          <w:p w:rsidR="00DC1BF8" w:rsidRDefault="00061B8E">
            <w:pPr>
              <w:rPr>
                <w:rFonts w:ascii="Play" w:eastAsia="Play" w:hAnsi="Play" w:cs="Play"/>
                <w:sz w:val="24"/>
                <w:szCs w:val="24"/>
              </w:rPr>
            </w:pPr>
            <w:r>
              <w:rPr>
                <w:rFonts w:ascii="Play" w:eastAsia="Play" w:hAnsi="Play" w:cs="Play"/>
                <w:sz w:val="24"/>
                <w:szCs w:val="24"/>
              </w:rPr>
              <w:t>Lack of human resources</w:t>
            </w:r>
          </w:p>
        </w:tc>
        <w:tc>
          <w:tcPr>
            <w:tcW w:w="3078" w:type="dxa"/>
          </w:tcPr>
          <w:p w:rsidR="00DC1BF8" w:rsidRDefault="00061B8E">
            <w:pPr>
              <w:rPr>
                <w:rFonts w:ascii="Play" w:eastAsia="Play" w:hAnsi="Play" w:cs="Play"/>
                <w:sz w:val="24"/>
                <w:szCs w:val="24"/>
              </w:rPr>
            </w:pPr>
            <w:r>
              <w:rPr>
                <w:rFonts w:ascii="Play" w:eastAsia="Play" w:hAnsi="Play" w:cs="Play"/>
                <w:sz w:val="24"/>
                <w:szCs w:val="24"/>
              </w:rPr>
              <w:t>Engage universities with departments of psychology, social work, and related fields that can tap their faculty members and students.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Collaborate with faith-based organizations that have existing community-based networks and initiatives </w:t>
            </w:r>
          </w:p>
        </w:tc>
      </w:tr>
      <w:tr w:rsidR="00DC1BF8">
        <w:tc>
          <w:tcPr>
            <w:tcW w:w="3077" w:type="dxa"/>
          </w:tcPr>
          <w:p w:rsidR="00DC1BF8" w:rsidRDefault="00061B8E">
            <w:pPr>
              <w:rPr>
                <w:rFonts w:ascii="Play" w:eastAsia="Play" w:hAnsi="Play" w:cs="Play"/>
                <w:b/>
                <w:sz w:val="24"/>
                <w:szCs w:val="24"/>
              </w:rPr>
            </w:pPr>
            <w:r>
              <w:rPr>
                <w:rFonts w:ascii="Play" w:eastAsia="Play" w:hAnsi="Play" w:cs="Play"/>
                <w:b/>
                <w:sz w:val="24"/>
                <w:szCs w:val="24"/>
              </w:rPr>
              <w:lastRenderedPageBreak/>
              <w:t>STATIC WOMEN AND GIRLS SAFE SPACES</w:t>
            </w:r>
          </w:p>
          <w:p w:rsidR="00DC1BF8" w:rsidRDefault="00DC1BF8">
            <w:pPr>
              <w:rPr>
                <w:rFonts w:ascii="Play" w:eastAsia="Play" w:hAnsi="Play" w:cs="Play"/>
                <w:b/>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ACTIONS: For existing WGFS, put in place physical distancing measures (e.g. 1 </w:t>
            </w:r>
            <w:proofErr w:type="spellStart"/>
            <w:r>
              <w:rPr>
                <w:rFonts w:ascii="Play" w:eastAsia="Play" w:hAnsi="Play" w:cs="Play"/>
                <w:sz w:val="24"/>
                <w:szCs w:val="24"/>
              </w:rPr>
              <w:t>metre</w:t>
            </w:r>
            <w:proofErr w:type="spellEnd"/>
            <w:r>
              <w:rPr>
                <w:rFonts w:ascii="Play" w:eastAsia="Play" w:hAnsi="Play" w:cs="Play"/>
                <w:sz w:val="24"/>
                <w:szCs w:val="24"/>
              </w:rPr>
              <w:t xml:space="preserve"> WHO guidelines)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Incorporate COVID-19 prevention/mitigation messages into WGSS awareness raising. </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Implement COVID-19 hygiene/mitigation measures for staff and participants in WGFS programming (i.e. masks, alcohol/sanitizer, increased cleaning/disinfection regimes)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Go through a self-assessment of </w:t>
            </w:r>
            <w:proofErr w:type="spellStart"/>
            <w:r>
              <w:rPr>
                <w:rFonts w:ascii="Play" w:eastAsia="Play" w:hAnsi="Play" w:cs="Play"/>
                <w:sz w:val="24"/>
                <w:szCs w:val="24"/>
              </w:rPr>
              <w:t>programme</w:t>
            </w:r>
            <w:proofErr w:type="spellEnd"/>
            <w:r>
              <w:rPr>
                <w:rFonts w:ascii="Play" w:eastAsia="Play" w:hAnsi="Play" w:cs="Play"/>
                <w:sz w:val="24"/>
                <w:szCs w:val="24"/>
              </w:rPr>
              <w:t xml:space="preserve"> adjustment or closure measures, further to the government or humanitarian guidelines related to community quarantine and mitigation.</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Assess commodity </w:t>
            </w:r>
            <w:r w:rsidR="003F7CA9">
              <w:rPr>
                <w:rFonts w:ascii="Play" w:eastAsia="Play" w:hAnsi="Play" w:cs="Play"/>
                <w:sz w:val="24"/>
                <w:szCs w:val="24"/>
              </w:rPr>
              <w:t>stocks and</w:t>
            </w:r>
            <w:r>
              <w:rPr>
                <w:rFonts w:ascii="Play" w:eastAsia="Play" w:hAnsi="Play" w:cs="Play"/>
                <w:sz w:val="24"/>
                <w:szCs w:val="24"/>
              </w:rPr>
              <w:t xml:space="preserve"> needs for Dignity kits or </w:t>
            </w:r>
            <w:r>
              <w:rPr>
                <w:rFonts w:ascii="Play" w:eastAsia="Play" w:hAnsi="Play" w:cs="Play"/>
                <w:sz w:val="24"/>
                <w:szCs w:val="24"/>
              </w:rPr>
              <w:lastRenderedPageBreak/>
              <w:t>other key items for women and girls. Update contents inside the dignity kits to include additional hygiene and disinfection items such as soap and 70% isopropyl/ethyl alcohol.</w:t>
            </w:r>
          </w:p>
          <w:p w:rsidR="00DC1BF8" w:rsidRDefault="00DC1BF8">
            <w:pPr>
              <w:rPr>
                <w:rFonts w:ascii="Play" w:eastAsia="Play" w:hAnsi="Play" w:cs="Play"/>
                <w:b/>
                <w:sz w:val="24"/>
                <w:szCs w:val="24"/>
              </w:rPr>
            </w:pPr>
          </w:p>
        </w:tc>
        <w:tc>
          <w:tcPr>
            <w:tcW w:w="3077" w:type="dxa"/>
          </w:tcPr>
          <w:p w:rsidR="00DC1BF8" w:rsidRDefault="00061B8E">
            <w:pPr>
              <w:rPr>
                <w:rFonts w:ascii="Play" w:eastAsia="Play" w:hAnsi="Play" w:cs="Play"/>
                <w:sz w:val="24"/>
                <w:szCs w:val="24"/>
              </w:rPr>
            </w:pPr>
            <w:r>
              <w:rPr>
                <w:rFonts w:ascii="Play" w:eastAsia="Play" w:hAnsi="Play" w:cs="Play"/>
                <w:sz w:val="24"/>
                <w:szCs w:val="24"/>
              </w:rPr>
              <w:lastRenderedPageBreak/>
              <w:t>% of WGSS with COVID-19 mitigation measures and guidance in place for beneficiaries and staff</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of available dignity kits in COVID locations</w:t>
            </w: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061B8E">
            <w:pPr>
              <w:rPr>
                <w:rFonts w:ascii="Play" w:eastAsia="Play" w:hAnsi="Play" w:cs="Play"/>
                <w:b/>
                <w:sz w:val="24"/>
                <w:szCs w:val="24"/>
              </w:rPr>
            </w:pPr>
            <w:r>
              <w:rPr>
                <w:rFonts w:ascii="Play" w:eastAsia="Play" w:hAnsi="Play" w:cs="Play"/>
                <w:b/>
                <w:sz w:val="24"/>
                <w:szCs w:val="24"/>
              </w:rPr>
              <w:lastRenderedPageBreak/>
              <w:t>SET-UP MOBILE WOMEN AND GIRLS SAFE SPACES (WGSS)</w:t>
            </w:r>
            <w:r>
              <w:rPr>
                <w:rFonts w:ascii="Play" w:eastAsia="Play" w:hAnsi="Play" w:cs="Play"/>
                <w:b/>
                <w:sz w:val="24"/>
                <w:szCs w:val="24"/>
                <w:vertAlign w:val="superscript"/>
              </w:rPr>
              <w:footnoteReference w:id="4"/>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ACTION: Explore the possibility of a mobile delivery model for WGSS to be able to provide information, activities and services while minimizing risk of infection. </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The mobile WGSS approach consists of WFSS teams moving on a rotational basis to reach women and girls.</w:t>
            </w:r>
          </w:p>
          <w:p w:rsidR="00DC1BF8" w:rsidRDefault="00DC1BF8">
            <w:pPr>
              <w:rPr>
                <w:rFonts w:ascii="Play" w:eastAsia="Play" w:hAnsi="Play" w:cs="Play"/>
                <w:sz w:val="24"/>
                <w:szCs w:val="24"/>
              </w:rPr>
            </w:pPr>
          </w:p>
        </w:tc>
        <w:tc>
          <w:tcPr>
            <w:tcW w:w="3077" w:type="dxa"/>
          </w:tcPr>
          <w:p w:rsidR="00DC1BF8" w:rsidRDefault="00061B8E">
            <w:pPr>
              <w:rPr>
                <w:rFonts w:ascii="Play" w:eastAsia="Play" w:hAnsi="Play" w:cs="Play"/>
                <w:sz w:val="24"/>
                <w:szCs w:val="24"/>
              </w:rPr>
            </w:pPr>
            <w:r>
              <w:rPr>
                <w:rFonts w:ascii="Play" w:eastAsia="Play" w:hAnsi="Play" w:cs="Play"/>
                <w:sz w:val="24"/>
                <w:szCs w:val="24"/>
              </w:rPr>
              <w:t>Number and percentage of women and girls consulted to inform WGSS design, disaggregated by age and disability.</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Number of women and girls using WGSS to meet their needs. </w:t>
            </w: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061B8E">
            <w:pPr>
              <w:pBdr>
                <w:top w:val="nil"/>
                <w:left w:val="nil"/>
                <w:bottom w:val="nil"/>
                <w:right w:val="nil"/>
                <w:between w:val="nil"/>
              </w:pBdr>
              <w:rPr>
                <w:rFonts w:ascii="Play" w:eastAsia="Play" w:hAnsi="Play" w:cs="Play"/>
                <w:b/>
                <w:color w:val="000000"/>
                <w:sz w:val="24"/>
                <w:szCs w:val="24"/>
              </w:rPr>
            </w:pPr>
            <w:r>
              <w:rPr>
                <w:rFonts w:ascii="Play" w:eastAsia="Play" w:hAnsi="Play" w:cs="Play"/>
                <w:b/>
                <w:color w:val="000000"/>
                <w:sz w:val="24"/>
                <w:szCs w:val="24"/>
              </w:rPr>
              <w:t xml:space="preserve">SUPPORT SAFE HAVENS TO DEVELOP PROCEDURES TO </w:t>
            </w:r>
            <w:r>
              <w:rPr>
                <w:rFonts w:ascii="Play" w:eastAsia="Play" w:hAnsi="Play" w:cs="Play"/>
                <w:b/>
                <w:color w:val="000000"/>
                <w:sz w:val="24"/>
                <w:szCs w:val="24"/>
              </w:rPr>
              <w:lastRenderedPageBreak/>
              <w:t>MINIMIZE RISK OF INFECTION</w:t>
            </w:r>
          </w:p>
          <w:p w:rsidR="00DC1BF8" w:rsidRDefault="00DC1BF8">
            <w:pPr>
              <w:pBdr>
                <w:top w:val="nil"/>
                <w:left w:val="nil"/>
                <w:bottom w:val="nil"/>
                <w:right w:val="nil"/>
                <w:between w:val="nil"/>
              </w:pBdr>
              <w:rPr>
                <w:rFonts w:ascii="Play" w:eastAsia="Play" w:hAnsi="Play" w:cs="Play"/>
                <w:sz w:val="24"/>
                <w:szCs w:val="24"/>
              </w:rPr>
            </w:pPr>
          </w:p>
          <w:p w:rsidR="00DC1BF8" w:rsidRDefault="00061B8E">
            <w:pPr>
              <w:pBdr>
                <w:top w:val="nil"/>
                <w:left w:val="nil"/>
                <w:bottom w:val="nil"/>
                <w:right w:val="nil"/>
                <w:between w:val="nil"/>
              </w:pBdr>
              <w:rPr>
                <w:rFonts w:ascii="Play" w:eastAsia="Play" w:hAnsi="Play" w:cs="Play"/>
                <w:color w:val="000000"/>
                <w:sz w:val="24"/>
                <w:szCs w:val="24"/>
              </w:rPr>
            </w:pPr>
            <w:r>
              <w:rPr>
                <w:rFonts w:ascii="Play" w:eastAsia="Play" w:hAnsi="Play" w:cs="Play"/>
                <w:sz w:val="24"/>
                <w:szCs w:val="24"/>
              </w:rPr>
              <w:t xml:space="preserve">ACTION: </w:t>
            </w:r>
            <w:r>
              <w:rPr>
                <w:rFonts w:ascii="Play" w:eastAsia="Play" w:hAnsi="Play" w:cs="Play"/>
                <w:color w:val="000000"/>
                <w:sz w:val="24"/>
                <w:szCs w:val="24"/>
              </w:rPr>
              <w:t xml:space="preserve">Safe havens and residential facilities for GBV survivors need to develop procedures to minimize risk of infection of COVID-19 and protocols for responding to individuals who may have become infected. </w:t>
            </w:r>
          </w:p>
          <w:p w:rsidR="00DC1BF8" w:rsidRDefault="00DC1BF8">
            <w:pPr>
              <w:rPr>
                <w:rFonts w:ascii="Play" w:eastAsia="Play" w:hAnsi="Play" w:cs="Play"/>
                <w:sz w:val="24"/>
                <w:szCs w:val="24"/>
              </w:rPr>
            </w:pPr>
          </w:p>
        </w:tc>
        <w:tc>
          <w:tcPr>
            <w:tcW w:w="3077" w:type="dxa"/>
          </w:tcPr>
          <w:p w:rsidR="00DC1BF8" w:rsidRDefault="00061B8E">
            <w:pPr>
              <w:rPr>
                <w:rFonts w:ascii="Play" w:eastAsia="Play" w:hAnsi="Play" w:cs="Play"/>
                <w:sz w:val="24"/>
                <w:szCs w:val="24"/>
              </w:rPr>
            </w:pPr>
            <w:r>
              <w:rPr>
                <w:rFonts w:ascii="Play" w:eastAsia="Play" w:hAnsi="Play" w:cs="Play"/>
                <w:sz w:val="24"/>
                <w:szCs w:val="24"/>
              </w:rPr>
              <w:lastRenderedPageBreak/>
              <w:t xml:space="preserve">% of safe haven services with COVID risk mitigation </w:t>
            </w:r>
            <w:r>
              <w:rPr>
                <w:rFonts w:ascii="Play" w:eastAsia="Play" w:hAnsi="Play" w:cs="Play"/>
                <w:sz w:val="24"/>
                <w:szCs w:val="24"/>
              </w:rPr>
              <w:lastRenderedPageBreak/>
              <w:t>measures  in place for staff and beneficiaries</w:t>
            </w:r>
          </w:p>
        </w:tc>
        <w:tc>
          <w:tcPr>
            <w:tcW w:w="3078" w:type="dxa"/>
          </w:tcPr>
          <w:p w:rsidR="00DC1BF8" w:rsidRDefault="00061B8E">
            <w:pPr>
              <w:rPr>
                <w:rFonts w:ascii="Play" w:eastAsia="Play" w:hAnsi="Play" w:cs="Play"/>
                <w:sz w:val="24"/>
                <w:szCs w:val="24"/>
              </w:rPr>
            </w:pPr>
            <w:r>
              <w:rPr>
                <w:rFonts w:ascii="Play" w:eastAsia="Play" w:hAnsi="Play" w:cs="Play"/>
                <w:sz w:val="24"/>
                <w:szCs w:val="24"/>
              </w:rPr>
              <w:lastRenderedPageBreak/>
              <w:t xml:space="preserve">Ministry of Health with Ministry of Social Welfare and national/local </w:t>
            </w:r>
            <w:r>
              <w:rPr>
                <w:rFonts w:ascii="Play" w:eastAsia="Play" w:hAnsi="Play" w:cs="Play"/>
                <w:sz w:val="24"/>
                <w:szCs w:val="24"/>
              </w:rPr>
              <w:lastRenderedPageBreak/>
              <w:t>organizations that are managing safe havens/residential facilities</w:t>
            </w: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061B8E">
            <w:pPr>
              <w:rPr>
                <w:rFonts w:ascii="Play" w:eastAsia="Play" w:hAnsi="Play" w:cs="Play"/>
                <w:sz w:val="24"/>
                <w:szCs w:val="24"/>
                <w:vertAlign w:val="superscript"/>
              </w:rPr>
            </w:pPr>
            <w:r>
              <w:rPr>
                <w:rFonts w:ascii="Play" w:eastAsia="Play" w:hAnsi="Play" w:cs="Play"/>
                <w:b/>
                <w:sz w:val="24"/>
                <w:szCs w:val="24"/>
              </w:rPr>
              <w:t>CASH AND VOUCHER ASSISTANCE (CVA)</w:t>
            </w:r>
            <w:r>
              <w:rPr>
                <w:rFonts w:ascii="Play" w:eastAsia="Play" w:hAnsi="Play" w:cs="Play"/>
                <w:sz w:val="24"/>
                <w:szCs w:val="24"/>
                <w:vertAlign w:val="superscript"/>
              </w:rPr>
              <w:footnoteReference w:id="5"/>
            </w:r>
          </w:p>
          <w:p w:rsidR="00DC1BF8" w:rsidRDefault="00DC1BF8">
            <w:pPr>
              <w:rPr>
                <w:rFonts w:ascii="Play" w:eastAsia="Play" w:hAnsi="Play" w:cs="Play"/>
                <w:sz w:val="24"/>
                <w:szCs w:val="24"/>
                <w:vertAlign w:val="superscript"/>
              </w:rPr>
            </w:pPr>
          </w:p>
          <w:p w:rsidR="00DC1BF8" w:rsidRDefault="00061B8E">
            <w:pPr>
              <w:rPr>
                <w:rFonts w:ascii="Play" w:eastAsia="Play" w:hAnsi="Play" w:cs="Play"/>
                <w:sz w:val="24"/>
                <w:szCs w:val="24"/>
                <w:vertAlign w:val="superscript"/>
              </w:rPr>
            </w:pPr>
            <w:r>
              <w:rPr>
                <w:rFonts w:ascii="Play" w:eastAsia="Play" w:hAnsi="Play" w:cs="Play"/>
                <w:sz w:val="24"/>
                <w:szCs w:val="24"/>
              </w:rPr>
              <w:t>ACTION: Evaluate CVA for community volunteers/staff in GBV programming to determine if targeting or amounts need to be adjusted based on vulnerability to COVID</w:t>
            </w:r>
          </w:p>
          <w:p w:rsidR="00DC1BF8" w:rsidRDefault="00DC1BF8">
            <w:pPr>
              <w:rPr>
                <w:rFonts w:ascii="Play" w:eastAsia="Play" w:hAnsi="Play" w:cs="Play"/>
                <w:sz w:val="24"/>
                <w:szCs w:val="24"/>
              </w:rPr>
            </w:pPr>
          </w:p>
          <w:p w:rsidR="00DC1BF8" w:rsidRDefault="00061B8E">
            <w:pPr>
              <w:pBdr>
                <w:top w:val="nil"/>
                <w:left w:val="nil"/>
                <w:bottom w:val="nil"/>
                <w:right w:val="nil"/>
                <w:between w:val="nil"/>
              </w:pBdr>
              <w:rPr>
                <w:rFonts w:ascii="Play" w:eastAsia="Play" w:hAnsi="Play" w:cs="Play"/>
                <w:color w:val="000000"/>
                <w:sz w:val="24"/>
                <w:szCs w:val="24"/>
              </w:rPr>
            </w:pPr>
            <w:r>
              <w:rPr>
                <w:rFonts w:ascii="Play" w:eastAsia="Play" w:hAnsi="Play" w:cs="Play"/>
                <w:sz w:val="24"/>
                <w:szCs w:val="24"/>
              </w:rPr>
              <w:t>Monitor p</w:t>
            </w:r>
            <w:r>
              <w:rPr>
                <w:rFonts w:ascii="Play" w:eastAsia="Play" w:hAnsi="Play" w:cs="Play"/>
                <w:color w:val="000000"/>
                <w:sz w:val="24"/>
                <w:szCs w:val="24"/>
              </w:rPr>
              <w:t>opulations most at risk</w:t>
            </w:r>
            <w:r>
              <w:rPr>
                <w:rFonts w:ascii="Play" w:eastAsia="Play" w:hAnsi="Play" w:cs="Play"/>
                <w:sz w:val="24"/>
                <w:szCs w:val="24"/>
              </w:rPr>
              <w:t xml:space="preserve">, </w:t>
            </w:r>
            <w:r>
              <w:rPr>
                <w:rFonts w:ascii="Play" w:eastAsia="Play" w:hAnsi="Play" w:cs="Play"/>
                <w:color w:val="000000"/>
                <w:sz w:val="24"/>
                <w:szCs w:val="24"/>
              </w:rPr>
              <w:t xml:space="preserve">those that have limited capacities to cope with </w:t>
            </w:r>
            <w:r>
              <w:rPr>
                <w:rFonts w:ascii="Play" w:eastAsia="Play" w:hAnsi="Play" w:cs="Play"/>
                <w:sz w:val="24"/>
                <w:szCs w:val="24"/>
              </w:rPr>
              <w:t>the COVID-19 crisis</w:t>
            </w:r>
            <w:proofErr w:type="gramStart"/>
            <w:r>
              <w:rPr>
                <w:rFonts w:ascii="Play" w:eastAsia="Play" w:hAnsi="Play" w:cs="Play"/>
                <w:sz w:val="24"/>
                <w:szCs w:val="24"/>
              </w:rPr>
              <w:t>,  for</w:t>
            </w:r>
            <w:proofErr w:type="gramEnd"/>
            <w:r>
              <w:rPr>
                <w:rFonts w:ascii="Play" w:eastAsia="Play" w:hAnsi="Play" w:cs="Play"/>
                <w:sz w:val="24"/>
                <w:szCs w:val="24"/>
              </w:rPr>
              <w:t xml:space="preserve"> GBV risks and targeted GBV mitigation or prevention </w:t>
            </w:r>
            <w:r>
              <w:rPr>
                <w:rFonts w:ascii="Play" w:eastAsia="Play" w:hAnsi="Play" w:cs="Play"/>
                <w:sz w:val="24"/>
                <w:szCs w:val="24"/>
              </w:rPr>
              <w:lastRenderedPageBreak/>
              <w:t>outreach in coordination  with any CVA related activities in GBV  or other sectors.</w:t>
            </w:r>
          </w:p>
          <w:p w:rsidR="00DC1BF8" w:rsidRDefault="00DC1BF8">
            <w:pPr>
              <w:rPr>
                <w:rFonts w:ascii="Play" w:eastAsia="Play" w:hAnsi="Play" w:cs="Play"/>
                <w:sz w:val="24"/>
                <w:szCs w:val="24"/>
              </w:rPr>
            </w:pPr>
          </w:p>
          <w:p w:rsidR="00DC1BF8" w:rsidRDefault="00061B8E">
            <w:pPr>
              <w:pBdr>
                <w:top w:val="nil"/>
                <w:left w:val="nil"/>
                <w:bottom w:val="nil"/>
                <w:right w:val="nil"/>
                <w:between w:val="nil"/>
              </w:pBdr>
              <w:rPr>
                <w:rFonts w:ascii="Play" w:eastAsia="Play" w:hAnsi="Play" w:cs="Play"/>
                <w:sz w:val="24"/>
                <w:szCs w:val="24"/>
              </w:rPr>
            </w:pPr>
            <w:r>
              <w:rPr>
                <w:rFonts w:ascii="Play" w:eastAsia="Play" w:hAnsi="Play" w:cs="Play"/>
                <w:sz w:val="24"/>
                <w:szCs w:val="24"/>
              </w:rPr>
              <w:t>Separate focus group conducted with</w:t>
            </w:r>
          </w:p>
          <w:p w:rsidR="00DC1BF8" w:rsidRDefault="00061B8E">
            <w:pPr>
              <w:pBdr>
                <w:top w:val="nil"/>
                <w:left w:val="nil"/>
                <w:bottom w:val="nil"/>
                <w:right w:val="nil"/>
                <w:between w:val="nil"/>
              </w:pBdr>
              <w:rPr>
                <w:rFonts w:ascii="Play" w:eastAsia="Play" w:hAnsi="Play" w:cs="Play"/>
                <w:sz w:val="24"/>
                <w:szCs w:val="24"/>
              </w:rPr>
            </w:pPr>
            <w:r>
              <w:rPr>
                <w:rFonts w:ascii="Play" w:eastAsia="Play" w:hAnsi="Play" w:cs="Play"/>
                <w:sz w:val="24"/>
                <w:szCs w:val="24"/>
              </w:rPr>
              <w:t>women about their preference for the</w:t>
            </w:r>
          </w:p>
          <w:p w:rsidR="00DC1BF8" w:rsidRDefault="00061B8E">
            <w:pPr>
              <w:pBdr>
                <w:top w:val="nil"/>
                <w:left w:val="nil"/>
                <w:bottom w:val="nil"/>
                <w:right w:val="nil"/>
                <w:between w:val="nil"/>
              </w:pBdr>
              <w:rPr>
                <w:rFonts w:ascii="Play" w:eastAsia="Play" w:hAnsi="Play" w:cs="Play"/>
                <w:sz w:val="24"/>
                <w:szCs w:val="24"/>
              </w:rPr>
            </w:pPr>
            <w:proofErr w:type="gramStart"/>
            <w:r>
              <w:rPr>
                <w:rFonts w:ascii="Play" w:eastAsia="Play" w:hAnsi="Play" w:cs="Play"/>
                <w:sz w:val="24"/>
                <w:szCs w:val="24"/>
              </w:rPr>
              <w:t>household</w:t>
            </w:r>
            <w:proofErr w:type="gramEnd"/>
            <w:r>
              <w:rPr>
                <w:rFonts w:ascii="Play" w:eastAsia="Play" w:hAnsi="Play" w:cs="Play"/>
                <w:sz w:val="24"/>
                <w:szCs w:val="24"/>
              </w:rPr>
              <w:t xml:space="preserve"> recipient of a cash transfer or</w:t>
            </w:r>
            <w:r w:rsidR="00D778F9">
              <w:rPr>
                <w:rFonts w:ascii="Play" w:eastAsia="Play" w:hAnsi="Play" w:cs="Play"/>
                <w:sz w:val="24"/>
                <w:szCs w:val="24"/>
              </w:rPr>
              <w:t xml:space="preserve"> </w:t>
            </w:r>
            <w:r>
              <w:rPr>
                <w:rFonts w:ascii="Play" w:eastAsia="Play" w:hAnsi="Play" w:cs="Play"/>
                <w:sz w:val="24"/>
                <w:szCs w:val="24"/>
              </w:rPr>
              <w:t>voucher, asking if targeting women might</w:t>
            </w:r>
            <w:r w:rsidR="00D778F9">
              <w:rPr>
                <w:rFonts w:ascii="Play" w:eastAsia="Play" w:hAnsi="Play" w:cs="Play"/>
                <w:sz w:val="24"/>
                <w:szCs w:val="24"/>
              </w:rPr>
              <w:t xml:space="preserve"> </w:t>
            </w:r>
            <w:r>
              <w:rPr>
                <w:rFonts w:ascii="Play" w:eastAsia="Play" w:hAnsi="Play" w:cs="Play"/>
                <w:sz w:val="24"/>
                <w:szCs w:val="24"/>
              </w:rPr>
              <w:t>cause tensions in the family or any safety</w:t>
            </w:r>
            <w:r w:rsidR="00AA278B">
              <w:rPr>
                <w:rFonts w:ascii="Play" w:eastAsia="Play" w:hAnsi="Play" w:cs="Play"/>
                <w:sz w:val="24"/>
                <w:szCs w:val="24"/>
              </w:rPr>
              <w:t xml:space="preserve"> </w:t>
            </w:r>
            <w:r>
              <w:rPr>
                <w:rFonts w:ascii="Play" w:eastAsia="Play" w:hAnsi="Play" w:cs="Play"/>
                <w:sz w:val="24"/>
                <w:szCs w:val="24"/>
              </w:rPr>
              <w:t>concerns.</w:t>
            </w:r>
          </w:p>
          <w:p w:rsidR="00DC1BF8" w:rsidRDefault="00DC1BF8">
            <w:pPr>
              <w:pBdr>
                <w:top w:val="nil"/>
                <w:left w:val="nil"/>
                <w:bottom w:val="nil"/>
                <w:right w:val="nil"/>
                <w:between w:val="nil"/>
              </w:pBdr>
              <w:rPr>
                <w:rFonts w:ascii="Play" w:eastAsia="Play" w:hAnsi="Play" w:cs="Play"/>
                <w:sz w:val="24"/>
                <w:szCs w:val="24"/>
              </w:rPr>
            </w:pPr>
          </w:p>
          <w:p w:rsidR="00DC1BF8" w:rsidRDefault="00061B8E">
            <w:pPr>
              <w:pBdr>
                <w:top w:val="nil"/>
                <w:left w:val="nil"/>
                <w:bottom w:val="nil"/>
                <w:right w:val="nil"/>
                <w:between w:val="nil"/>
              </w:pBdr>
              <w:rPr>
                <w:rFonts w:ascii="Play" w:eastAsia="Play" w:hAnsi="Play" w:cs="Play"/>
                <w:sz w:val="24"/>
                <w:szCs w:val="24"/>
              </w:rPr>
            </w:pPr>
            <w:r>
              <w:rPr>
                <w:rFonts w:ascii="Play" w:eastAsia="Play" w:hAnsi="Play" w:cs="Play"/>
                <w:sz w:val="24"/>
                <w:szCs w:val="24"/>
              </w:rPr>
              <w:t>Consider providing cash and/or voucher assistance to women and girls so they can stock up on items such as sanitary pads, mobile phone cards, internet data cards, and shelf-stable foods. If these items are in scarcity or are no longer available due to panic buying, then explore procuring these items and distributing them to target beneficiaries.</w:t>
            </w:r>
          </w:p>
        </w:tc>
        <w:tc>
          <w:tcPr>
            <w:tcW w:w="3077"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061B8E">
            <w:pPr>
              <w:rPr>
                <w:rFonts w:ascii="Play" w:eastAsia="Play" w:hAnsi="Play" w:cs="Play"/>
                <w:sz w:val="24"/>
                <w:szCs w:val="24"/>
              </w:rPr>
            </w:pPr>
            <w:r>
              <w:rPr>
                <w:rFonts w:ascii="Play" w:eastAsia="Play" w:hAnsi="Play" w:cs="Play"/>
                <w:b/>
                <w:sz w:val="24"/>
                <w:szCs w:val="24"/>
              </w:rPr>
              <w:t>CHILD CARE ARRANGEMENTS</w:t>
            </w:r>
            <w:r>
              <w:rPr>
                <w:rFonts w:ascii="Play" w:eastAsia="Play" w:hAnsi="Play" w:cs="Play"/>
                <w:sz w:val="24"/>
                <w:szCs w:val="24"/>
              </w:rPr>
              <w:t xml:space="preserve"> </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bookmarkStart w:id="0" w:name="_heading=h.gjdgxs" w:colFirst="0" w:colLast="0"/>
            <w:bookmarkEnd w:id="0"/>
            <w:r>
              <w:rPr>
                <w:rFonts w:ascii="Play" w:eastAsia="Play" w:hAnsi="Play" w:cs="Play"/>
                <w:sz w:val="24"/>
                <w:szCs w:val="24"/>
              </w:rPr>
              <w:lastRenderedPageBreak/>
              <w:t xml:space="preserve">Caregivers may feel increasingly worried for their children being at home alone (due to school closures) without appropriate care and support. </w:t>
            </w:r>
          </w:p>
          <w:p w:rsidR="00DC1BF8" w:rsidRDefault="00DC1BF8">
            <w:pPr>
              <w:rPr>
                <w:rFonts w:ascii="Play" w:eastAsia="Play" w:hAnsi="Play" w:cs="Play"/>
                <w:sz w:val="24"/>
                <w:szCs w:val="24"/>
              </w:rPr>
            </w:pPr>
            <w:bookmarkStart w:id="1" w:name="_heading=h.3uhymfhz7p6n" w:colFirst="0" w:colLast="0"/>
            <w:bookmarkEnd w:id="1"/>
          </w:p>
          <w:p w:rsidR="00DC1BF8" w:rsidRDefault="00061B8E">
            <w:pPr>
              <w:rPr>
                <w:rFonts w:ascii="Play" w:eastAsia="Play" w:hAnsi="Play" w:cs="Play"/>
                <w:sz w:val="24"/>
                <w:szCs w:val="24"/>
              </w:rPr>
            </w:pPr>
            <w:bookmarkStart w:id="2" w:name="_heading=h.ywyi1v7i16gt" w:colFirst="0" w:colLast="0"/>
            <w:bookmarkEnd w:id="2"/>
            <w:r>
              <w:rPr>
                <w:rFonts w:ascii="Play" w:eastAsia="Play" w:hAnsi="Play" w:cs="Play"/>
                <w:sz w:val="24"/>
                <w:szCs w:val="24"/>
              </w:rPr>
              <w:t xml:space="preserve">ACTION: Consult and assess how changes in child care arrangements among GBV </w:t>
            </w:r>
            <w:proofErr w:type="spellStart"/>
            <w:r>
              <w:rPr>
                <w:rFonts w:ascii="Play" w:eastAsia="Play" w:hAnsi="Play" w:cs="Play"/>
                <w:sz w:val="24"/>
                <w:szCs w:val="24"/>
              </w:rPr>
              <w:t>programme</w:t>
            </w:r>
            <w:proofErr w:type="spellEnd"/>
            <w:r>
              <w:rPr>
                <w:rFonts w:ascii="Play" w:eastAsia="Play" w:hAnsi="Play" w:cs="Play"/>
                <w:sz w:val="24"/>
                <w:szCs w:val="24"/>
              </w:rPr>
              <w:t xml:space="preserve"> staff and beneficiaries may </w:t>
            </w:r>
            <w:r w:rsidR="00AA278B">
              <w:rPr>
                <w:rFonts w:ascii="Play" w:eastAsia="Play" w:hAnsi="Play" w:cs="Play"/>
                <w:sz w:val="24"/>
                <w:szCs w:val="24"/>
              </w:rPr>
              <w:t>affect programmatic</w:t>
            </w:r>
            <w:r>
              <w:rPr>
                <w:rFonts w:ascii="Play" w:eastAsia="Play" w:hAnsi="Play" w:cs="Play"/>
                <w:sz w:val="24"/>
                <w:szCs w:val="24"/>
              </w:rPr>
              <w:t xml:space="preserve"> delivery.</w:t>
            </w:r>
          </w:p>
          <w:p w:rsidR="00DC1BF8" w:rsidRDefault="00DC1BF8">
            <w:pPr>
              <w:rPr>
                <w:rFonts w:ascii="Play" w:eastAsia="Play" w:hAnsi="Play" w:cs="Play"/>
                <w:sz w:val="24"/>
                <w:szCs w:val="24"/>
              </w:rPr>
            </w:pPr>
            <w:bookmarkStart w:id="3" w:name="_heading=h.ny18bbtjmr98" w:colFirst="0" w:colLast="0"/>
            <w:bookmarkEnd w:id="3"/>
          </w:p>
          <w:p w:rsidR="00DC1BF8" w:rsidRDefault="00061B8E">
            <w:pPr>
              <w:rPr>
                <w:rFonts w:ascii="Play" w:eastAsia="Play" w:hAnsi="Play" w:cs="Play"/>
                <w:sz w:val="24"/>
                <w:szCs w:val="24"/>
              </w:rPr>
            </w:pPr>
            <w:bookmarkStart w:id="4" w:name="_heading=h.105qd5qctg6u" w:colFirst="0" w:colLast="0"/>
            <w:bookmarkEnd w:id="4"/>
            <w:r>
              <w:rPr>
                <w:rFonts w:ascii="Play" w:eastAsia="Play" w:hAnsi="Play" w:cs="Play"/>
                <w:sz w:val="24"/>
                <w:szCs w:val="24"/>
              </w:rPr>
              <w:t>Flag changes to child care needs and protection-related risks to Child Protection/Protection actors.</w:t>
            </w:r>
          </w:p>
        </w:tc>
        <w:tc>
          <w:tcPr>
            <w:tcW w:w="3077" w:type="dxa"/>
          </w:tcPr>
          <w:p w:rsidR="00DC1BF8" w:rsidRDefault="00AA278B">
            <w:pPr>
              <w:rPr>
                <w:rFonts w:ascii="Play" w:eastAsia="Play" w:hAnsi="Play" w:cs="Play"/>
                <w:sz w:val="24"/>
                <w:szCs w:val="24"/>
              </w:rPr>
            </w:pPr>
            <w:r>
              <w:rPr>
                <w:rFonts w:ascii="Play" w:eastAsia="Play" w:hAnsi="Play" w:cs="Play"/>
                <w:sz w:val="24"/>
                <w:szCs w:val="24"/>
              </w:rPr>
              <w:lastRenderedPageBreak/>
              <w:t>% of</w:t>
            </w:r>
            <w:r w:rsidR="00061B8E">
              <w:rPr>
                <w:rFonts w:ascii="Play" w:eastAsia="Play" w:hAnsi="Play" w:cs="Play"/>
                <w:sz w:val="24"/>
                <w:szCs w:val="24"/>
              </w:rPr>
              <w:t xml:space="preserve"> </w:t>
            </w:r>
            <w:r w:rsidR="00D778F9">
              <w:rPr>
                <w:rFonts w:ascii="Play" w:eastAsia="Play" w:hAnsi="Play" w:cs="Play"/>
                <w:sz w:val="24"/>
                <w:szCs w:val="24"/>
              </w:rPr>
              <w:t>organizations</w:t>
            </w:r>
            <w:r w:rsidR="00061B8E">
              <w:rPr>
                <w:rFonts w:ascii="Play" w:eastAsia="Play" w:hAnsi="Play" w:cs="Play"/>
                <w:sz w:val="24"/>
                <w:szCs w:val="24"/>
              </w:rPr>
              <w:t xml:space="preserve"> with </w:t>
            </w:r>
            <w:r>
              <w:rPr>
                <w:rFonts w:ascii="Play" w:eastAsia="Play" w:hAnsi="Play" w:cs="Play"/>
                <w:sz w:val="24"/>
                <w:szCs w:val="24"/>
              </w:rPr>
              <w:t>planning in</w:t>
            </w:r>
            <w:r w:rsidR="00061B8E">
              <w:rPr>
                <w:rFonts w:ascii="Play" w:eastAsia="Play" w:hAnsi="Play" w:cs="Play"/>
                <w:sz w:val="24"/>
                <w:szCs w:val="24"/>
              </w:rPr>
              <w:t xml:space="preserve"> place to address child care needs of GBV </w:t>
            </w:r>
            <w:proofErr w:type="spellStart"/>
            <w:r w:rsidR="00061B8E">
              <w:rPr>
                <w:rFonts w:ascii="Play" w:eastAsia="Play" w:hAnsi="Play" w:cs="Play"/>
                <w:sz w:val="24"/>
                <w:szCs w:val="24"/>
              </w:rPr>
              <w:t>programme</w:t>
            </w:r>
            <w:proofErr w:type="spellEnd"/>
            <w:r w:rsidR="00061B8E">
              <w:rPr>
                <w:rFonts w:ascii="Play" w:eastAsia="Play" w:hAnsi="Play" w:cs="Play"/>
                <w:sz w:val="24"/>
                <w:szCs w:val="24"/>
              </w:rPr>
              <w:t xml:space="preserve"> staff, </w:t>
            </w:r>
            <w:r w:rsidR="00061B8E">
              <w:rPr>
                <w:rFonts w:ascii="Play" w:eastAsia="Play" w:hAnsi="Play" w:cs="Play"/>
                <w:sz w:val="24"/>
                <w:szCs w:val="24"/>
              </w:rPr>
              <w:lastRenderedPageBreak/>
              <w:t>beneficiaries and related programmatic delivery.</w:t>
            </w: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061B8E">
            <w:pPr>
              <w:rPr>
                <w:rFonts w:ascii="Play" w:eastAsia="Play" w:hAnsi="Play" w:cs="Play"/>
                <w:sz w:val="24"/>
                <w:szCs w:val="24"/>
              </w:rPr>
            </w:pPr>
            <w:r>
              <w:rPr>
                <w:rFonts w:ascii="Play" w:eastAsia="Play" w:hAnsi="Play" w:cs="Play"/>
                <w:sz w:val="24"/>
                <w:szCs w:val="24"/>
              </w:rPr>
              <w:t>Liaise with Child Protection Sub-Cluster/Working Group.</w:t>
            </w:r>
          </w:p>
        </w:tc>
      </w:tr>
      <w:tr w:rsidR="00DC1BF8">
        <w:tc>
          <w:tcPr>
            <w:tcW w:w="3077" w:type="dxa"/>
          </w:tcPr>
          <w:p w:rsidR="00DC1BF8" w:rsidRDefault="00061B8E">
            <w:pPr>
              <w:rPr>
                <w:rFonts w:ascii="Play" w:eastAsia="Play" w:hAnsi="Play" w:cs="Play"/>
                <w:b/>
                <w:sz w:val="24"/>
                <w:szCs w:val="24"/>
              </w:rPr>
            </w:pPr>
            <w:r>
              <w:rPr>
                <w:rFonts w:ascii="Play" w:eastAsia="Play" w:hAnsi="Play" w:cs="Play"/>
                <w:b/>
                <w:sz w:val="24"/>
                <w:szCs w:val="24"/>
              </w:rPr>
              <w:t xml:space="preserve">STAFF WELL-BEING / DUTY OF CARE </w:t>
            </w:r>
          </w:p>
          <w:p w:rsidR="00DC1BF8" w:rsidRDefault="00DC1BF8">
            <w:pPr>
              <w:rPr>
                <w:rFonts w:ascii="Play" w:eastAsia="Play" w:hAnsi="Play" w:cs="Play"/>
                <w:b/>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ACTION: </w:t>
            </w:r>
            <w:r w:rsidR="00AA278B">
              <w:rPr>
                <w:rFonts w:ascii="Play" w:eastAsia="Play" w:hAnsi="Play" w:cs="Play"/>
                <w:sz w:val="24"/>
                <w:szCs w:val="24"/>
              </w:rPr>
              <w:t xml:space="preserve">Organizations assess </w:t>
            </w:r>
            <w:r>
              <w:rPr>
                <w:rFonts w:ascii="Play" w:eastAsia="Play" w:hAnsi="Play" w:cs="Play"/>
                <w:sz w:val="24"/>
                <w:szCs w:val="24"/>
              </w:rPr>
              <w:t xml:space="preserve">what psycho-social support resources/options are available to staff and the </w:t>
            </w:r>
            <w:r w:rsidR="00AA278B">
              <w:rPr>
                <w:rFonts w:ascii="Play" w:eastAsia="Play" w:hAnsi="Play" w:cs="Play"/>
                <w:sz w:val="24"/>
                <w:szCs w:val="24"/>
              </w:rPr>
              <w:t>organization’s</w:t>
            </w:r>
            <w:r>
              <w:rPr>
                <w:rFonts w:ascii="Play" w:eastAsia="Play" w:hAnsi="Play" w:cs="Play"/>
                <w:sz w:val="24"/>
                <w:szCs w:val="24"/>
              </w:rPr>
              <w:t xml:space="preserve"> implementing partners who are providing the staffing for programmatic interventions. </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Develop Staff Care/Well-being IEC materials.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Support dissemination of the MHPSS WG guidelines for COVID-19.</w:t>
            </w:r>
            <w:r>
              <w:rPr>
                <w:rFonts w:ascii="Play" w:eastAsia="Play" w:hAnsi="Play" w:cs="Play"/>
                <w:sz w:val="24"/>
                <w:szCs w:val="24"/>
                <w:vertAlign w:val="superscript"/>
              </w:rPr>
              <w:footnoteReference w:id="6"/>
            </w:r>
          </w:p>
          <w:p w:rsidR="00DC1BF8" w:rsidRDefault="00DC1BF8">
            <w:pPr>
              <w:rPr>
                <w:rFonts w:ascii="Play" w:eastAsia="Play" w:hAnsi="Play" w:cs="Play"/>
                <w:sz w:val="24"/>
                <w:szCs w:val="24"/>
              </w:rPr>
            </w:pPr>
          </w:p>
        </w:tc>
        <w:tc>
          <w:tcPr>
            <w:tcW w:w="3077" w:type="dxa"/>
          </w:tcPr>
          <w:p w:rsidR="00DC1BF8" w:rsidRDefault="00061B8E">
            <w:pPr>
              <w:rPr>
                <w:rFonts w:ascii="Play" w:eastAsia="Play" w:hAnsi="Play" w:cs="Play"/>
                <w:sz w:val="24"/>
                <w:szCs w:val="24"/>
              </w:rPr>
            </w:pPr>
            <w:r>
              <w:rPr>
                <w:rFonts w:ascii="Play" w:eastAsia="Play" w:hAnsi="Play" w:cs="Play"/>
                <w:sz w:val="24"/>
                <w:szCs w:val="24"/>
              </w:rPr>
              <w:lastRenderedPageBreak/>
              <w:t xml:space="preserve">% of  GBV programmatic staff or </w:t>
            </w:r>
            <w:r w:rsidR="00D778F9">
              <w:rPr>
                <w:rFonts w:ascii="Play" w:eastAsia="Play" w:hAnsi="Play" w:cs="Play"/>
                <w:sz w:val="24"/>
                <w:szCs w:val="24"/>
              </w:rPr>
              <w:t>organizations</w:t>
            </w:r>
            <w:r>
              <w:rPr>
                <w:rFonts w:ascii="Play" w:eastAsia="Play" w:hAnsi="Play" w:cs="Play"/>
                <w:sz w:val="24"/>
                <w:szCs w:val="24"/>
              </w:rPr>
              <w:t xml:space="preserve"> with  access to staff well-being / MHPSS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Sub-cluster guidance on Staff well-being shared to all sub-cluster members /  partners  (Y/N)</w:t>
            </w: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061B8E">
            <w:pPr>
              <w:rPr>
                <w:rFonts w:ascii="Play" w:eastAsia="Play" w:hAnsi="Play" w:cs="Play"/>
                <w:b/>
                <w:sz w:val="24"/>
                <w:szCs w:val="24"/>
              </w:rPr>
            </w:pPr>
            <w:r>
              <w:rPr>
                <w:rFonts w:ascii="Play" w:eastAsia="Play" w:hAnsi="Play" w:cs="Play"/>
                <w:b/>
                <w:sz w:val="24"/>
                <w:szCs w:val="24"/>
              </w:rPr>
              <w:t>PROGRAMME CALIBRATION</w:t>
            </w:r>
          </w:p>
          <w:p w:rsidR="00DC1BF8" w:rsidRDefault="00DC1BF8">
            <w:pPr>
              <w:rPr>
                <w:rFonts w:ascii="Play" w:eastAsia="Play" w:hAnsi="Play" w:cs="Play"/>
                <w:b/>
                <w:sz w:val="24"/>
                <w:szCs w:val="24"/>
              </w:rPr>
            </w:pPr>
          </w:p>
          <w:p w:rsidR="00DC1BF8" w:rsidRDefault="00061B8E">
            <w:pPr>
              <w:rPr>
                <w:rFonts w:ascii="Play" w:eastAsia="Play" w:hAnsi="Play" w:cs="Play"/>
                <w:sz w:val="24"/>
                <w:szCs w:val="24"/>
              </w:rPr>
            </w:pPr>
            <w:r>
              <w:rPr>
                <w:rFonts w:ascii="Play" w:eastAsia="Play" w:hAnsi="Play" w:cs="Play"/>
                <w:sz w:val="24"/>
                <w:szCs w:val="24"/>
              </w:rPr>
              <w:t>ACTION: Assess staffing needs and modalities if some staff are required to work remotely.</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Assess if more regular staff rotation needs to occur, or operating hours need to be adjusted to deliver with reduced staffing or increased demand on services.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Consider revising targets for programming, such as outreach (i.e. number of women/girls attending WGSS awareness-raising sessions), to reflect any changes to </w:t>
            </w:r>
            <w:proofErr w:type="spellStart"/>
            <w:r>
              <w:rPr>
                <w:rFonts w:ascii="Play" w:eastAsia="Play" w:hAnsi="Play" w:cs="Play"/>
                <w:sz w:val="24"/>
                <w:szCs w:val="24"/>
              </w:rPr>
              <w:t>programme</w:t>
            </w:r>
            <w:proofErr w:type="spellEnd"/>
            <w:r>
              <w:rPr>
                <w:rFonts w:ascii="Play" w:eastAsia="Play" w:hAnsi="Play" w:cs="Play"/>
                <w:sz w:val="24"/>
                <w:szCs w:val="24"/>
              </w:rPr>
              <w:t xml:space="preserve"> modalities or reduction.</w:t>
            </w:r>
          </w:p>
        </w:tc>
        <w:tc>
          <w:tcPr>
            <w:tcW w:w="3077" w:type="dxa"/>
          </w:tcPr>
          <w:p w:rsidR="00DC1BF8" w:rsidRDefault="00061B8E">
            <w:pPr>
              <w:rPr>
                <w:rFonts w:ascii="Play" w:eastAsia="Play" w:hAnsi="Play" w:cs="Play"/>
                <w:sz w:val="24"/>
                <w:szCs w:val="24"/>
              </w:rPr>
            </w:pPr>
            <w:r>
              <w:rPr>
                <w:rFonts w:ascii="Play" w:eastAsia="Play" w:hAnsi="Play" w:cs="Play"/>
                <w:sz w:val="24"/>
                <w:szCs w:val="24"/>
              </w:rPr>
              <w:t># or % of GBV programming interventions calibrated for COVID</w:t>
            </w: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r w:rsidR="00DC1BF8">
        <w:tc>
          <w:tcPr>
            <w:tcW w:w="3077" w:type="dxa"/>
          </w:tcPr>
          <w:p w:rsidR="00DC1BF8" w:rsidRDefault="00061B8E">
            <w:pPr>
              <w:rPr>
                <w:rFonts w:ascii="Play" w:eastAsia="Play" w:hAnsi="Play" w:cs="Play"/>
                <w:b/>
                <w:sz w:val="24"/>
                <w:szCs w:val="24"/>
              </w:rPr>
            </w:pPr>
            <w:r>
              <w:rPr>
                <w:rFonts w:ascii="Play" w:eastAsia="Play" w:hAnsi="Play" w:cs="Play"/>
                <w:b/>
                <w:sz w:val="24"/>
                <w:szCs w:val="24"/>
              </w:rPr>
              <w:lastRenderedPageBreak/>
              <w:t>ADVOCACY</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 xml:space="preserve">ACTION: Conduct advocacy and outreach to donors on how COVID-19 may affect GBV, including </w:t>
            </w:r>
            <w:r w:rsidR="00A040E8">
              <w:rPr>
                <w:rFonts w:ascii="Play" w:eastAsia="Play" w:hAnsi="Play" w:cs="Play"/>
                <w:sz w:val="24"/>
                <w:szCs w:val="24"/>
              </w:rPr>
              <w:t>access to</w:t>
            </w:r>
            <w:r>
              <w:rPr>
                <w:rFonts w:ascii="Play" w:eastAsia="Play" w:hAnsi="Play" w:cs="Play"/>
                <w:sz w:val="24"/>
                <w:szCs w:val="24"/>
              </w:rPr>
              <w:t xml:space="preserve"> services and programmatic needs and timelines.</w:t>
            </w: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Conduct advocacy with other Sectors/HCT on GBV risk mitigation in COVID-19 response to other sectors. May include advocacy on hygiene and sanitation, MHPSS and GBV risk mitigation guidelines for quarantine or evacuation processes (guidance to be developed)</w:t>
            </w: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Liaise with PSEA Task Force to identify any service-related advocacy or referral needs</w:t>
            </w:r>
          </w:p>
          <w:p w:rsidR="00DC1BF8" w:rsidRDefault="00DC1BF8">
            <w:pPr>
              <w:rPr>
                <w:rFonts w:ascii="Play" w:eastAsia="Play" w:hAnsi="Play" w:cs="Play"/>
                <w:sz w:val="24"/>
                <w:szCs w:val="24"/>
              </w:rPr>
            </w:pPr>
          </w:p>
        </w:tc>
        <w:tc>
          <w:tcPr>
            <w:tcW w:w="3077" w:type="dxa"/>
          </w:tcPr>
          <w:p w:rsidR="00DC1BF8" w:rsidRDefault="00061B8E">
            <w:pPr>
              <w:rPr>
                <w:rFonts w:ascii="Play" w:eastAsia="Play" w:hAnsi="Play" w:cs="Play"/>
                <w:sz w:val="24"/>
                <w:szCs w:val="24"/>
              </w:rPr>
            </w:pPr>
            <w:r>
              <w:rPr>
                <w:rFonts w:ascii="Play" w:eastAsia="Play" w:hAnsi="Play" w:cs="Play"/>
                <w:sz w:val="24"/>
                <w:szCs w:val="24"/>
              </w:rPr>
              <w:t>Donor outreach conducted  by GBV sub-cluster / coordination group to explain programmatic implications of COVID-19 on GBV prevention, mitigation and response (Y/N)</w:t>
            </w: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Outreach on GBV integration with other sectors conducted / developed (Y/N)</w:t>
            </w: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p w:rsidR="00DC1BF8" w:rsidRDefault="00061B8E">
            <w:pPr>
              <w:rPr>
                <w:rFonts w:ascii="Play" w:eastAsia="Play" w:hAnsi="Play" w:cs="Play"/>
                <w:sz w:val="24"/>
                <w:szCs w:val="24"/>
              </w:rPr>
            </w:pPr>
            <w:r>
              <w:rPr>
                <w:rFonts w:ascii="Play" w:eastAsia="Play" w:hAnsi="Play" w:cs="Play"/>
                <w:sz w:val="24"/>
                <w:szCs w:val="24"/>
              </w:rPr>
              <w:t>PSEA Task Force updated on GBV referral pathway/service changes and advocacy  points (Y/N)</w:t>
            </w: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c>
          <w:tcPr>
            <w:tcW w:w="3078" w:type="dxa"/>
          </w:tcPr>
          <w:p w:rsidR="00DC1BF8" w:rsidRDefault="00DC1BF8">
            <w:pPr>
              <w:rPr>
                <w:rFonts w:ascii="Play" w:eastAsia="Play" w:hAnsi="Play" w:cs="Play"/>
                <w:sz w:val="24"/>
                <w:szCs w:val="24"/>
              </w:rPr>
            </w:pPr>
          </w:p>
        </w:tc>
      </w:tr>
    </w:tbl>
    <w:p w:rsidR="00DC1BF8" w:rsidRDefault="00061B8E">
      <w:pPr>
        <w:spacing w:after="0" w:line="240" w:lineRule="auto"/>
        <w:rPr>
          <w:rFonts w:ascii="Play" w:eastAsia="Play" w:hAnsi="Play" w:cs="Play"/>
          <w:sz w:val="24"/>
          <w:szCs w:val="24"/>
        </w:rPr>
      </w:pPr>
      <w:r>
        <w:rPr>
          <w:rFonts w:ascii="Play" w:eastAsia="Play" w:hAnsi="Play" w:cs="Play"/>
          <w:sz w:val="24"/>
          <w:szCs w:val="24"/>
        </w:rPr>
        <w:t>Persons with disabilities</w:t>
      </w:r>
    </w:p>
    <w:p w:rsidR="00DC1BF8" w:rsidRDefault="00DC1BF8">
      <w:pPr>
        <w:pBdr>
          <w:top w:val="nil"/>
          <w:left w:val="nil"/>
          <w:bottom w:val="nil"/>
          <w:right w:val="nil"/>
          <w:between w:val="nil"/>
        </w:pBdr>
        <w:spacing w:after="0" w:line="240" w:lineRule="auto"/>
        <w:rPr>
          <w:rFonts w:ascii="Play" w:eastAsia="Play" w:hAnsi="Play" w:cs="Play"/>
          <w:color w:val="000000"/>
          <w:sz w:val="24"/>
          <w:szCs w:val="24"/>
        </w:rPr>
      </w:pPr>
    </w:p>
    <w:p w:rsidR="00DC1BF8" w:rsidRPr="00ED18A8" w:rsidRDefault="00061B8E" w:rsidP="007D27E0">
      <w:pPr>
        <w:numPr>
          <w:ilvl w:val="1"/>
          <w:numId w:val="1"/>
        </w:numPr>
        <w:pBdr>
          <w:top w:val="nil"/>
          <w:left w:val="nil"/>
          <w:bottom w:val="nil"/>
          <w:right w:val="nil"/>
          <w:between w:val="nil"/>
        </w:pBdr>
        <w:spacing w:after="0" w:line="240" w:lineRule="auto"/>
        <w:rPr>
          <w:rFonts w:ascii="Play" w:eastAsia="Play" w:hAnsi="Play" w:cs="Play"/>
          <w:color w:val="000000"/>
          <w:sz w:val="24"/>
          <w:szCs w:val="24"/>
        </w:rPr>
      </w:pPr>
      <w:r w:rsidRPr="00ED18A8">
        <w:rPr>
          <w:rFonts w:ascii="Play" w:eastAsia="Play" w:hAnsi="Play" w:cs="Play"/>
          <w:color w:val="000000"/>
          <w:sz w:val="24"/>
          <w:szCs w:val="24"/>
        </w:rPr>
        <w:t>Accessible communication messages need to be developed, including considerations for people with disabilities (including sensory, intellectual, cognitive and psychosocial disabilities). Examples might include: Accessible websites and factsheets ensuring that people with visual disabilities can read key information about the outbreak. News and press conferences about the outbreak include certified sign language interpreters validated by people with deafness.</w:t>
      </w:r>
      <w:bookmarkStart w:id="5" w:name="_GoBack"/>
      <w:bookmarkEnd w:id="5"/>
    </w:p>
    <w:p w:rsidR="00DC1BF8" w:rsidRDefault="00DC1BF8">
      <w:pPr>
        <w:spacing w:after="0" w:line="240" w:lineRule="auto"/>
        <w:rPr>
          <w:rFonts w:ascii="Play" w:eastAsia="Play" w:hAnsi="Play" w:cs="Play"/>
          <w:sz w:val="24"/>
          <w:szCs w:val="24"/>
        </w:rPr>
      </w:pPr>
    </w:p>
    <w:sectPr w:rsidR="00DC1BF8" w:rsidSect="00ED18A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4EE" w:rsidRDefault="00C564EE">
      <w:pPr>
        <w:spacing w:after="0" w:line="240" w:lineRule="auto"/>
      </w:pPr>
      <w:r>
        <w:separator/>
      </w:r>
    </w:p>
  </w:endnote>
  <w:endnote w:type="continuationSeparator" w:id="0">
    <w:p w:rsidR="00C564EE" w:rsidRDefault="00C5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Play">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8" w:rsidRDefault="00ED1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8" w:rsidRDefault="00061B8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D18A8">
      <w:rPr>
        <w:noProof/>
        <w:color w:val="000000"/>
      </w:rPr>
      <w:t>13</w:t>
    </w:r>
    <w:r>
      <w:rPr>
        <w:color w:val="000000"/>
      </w:rPr>
      <w:fldChar w:fldCharType="end"/>
    </w:r>
  </w:p>
  <w:p w:rsidR="00DC1BF8" w:rsidRDefault="00DC1BF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8" w:rsidRDefault="00ED1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4EE" w:rsidRDefault="00C564EE">
      <w:pPr>
        <w:spacing w:after="0" w:line="240" w:lineRule="auto"/>
      </w:pPr>
      <w:r>
        <w:separator/>
      </w:r>
    </w:p>
  </w:footnote>
  <w:footnote w:type="continuationSeparator" w:id="0">
    <w:p w:rsidR="00C564EE" w:rsidRDefault="00C564EE">
      <w:pPr>
        <w:spacing w:after="0" w:line="240" w:lineRule="auto"/>
      </w:pPr>
      <w:r>
        <w:continuationSeparator/>
      </w:r>
    </w:p>
  </w:footnote>
  <w:footnote w:id="1">
    <w:p w:rsidR="00DC1BF8" w:rsidRDefault="00061B8E">
      <w:pPr>
        <w:spacing w:after="0" w:line="240" w:lineRule="auto"/>
        <w:rPr>
          <w:sz w:val="20"/>
          <w:szCs w:val="20"/>
        </w:rPr>
      </w:pPr>
      <w:r>
        <w:rPr>
          <w:vertAlign w:val="superscript"/>
        </w:rPr>
        <w:footnoteRef/>
      </w:r>
      <w:r>
        <w:rPr>
          <w:sz w:val="20"/>
          <w:szCs w:val="20"/>
        </w:rPr>
        <w:t xml:space="preserve"> World Health Organization. (7 March 2020). </w:t>
      </w:r>
      <w:r>
        <w:rPr>
          <w:i/>
          <w:sz w:val="20"/>
          <w:szCs w:val="20"/>
        </w:rPr>
        <w:t>Critical preparedness, readiness and response actions for COVID-19</w:t>
      </w:r>
      <w:r>
        <w:rPr>
          <w:sz w:val="20"/>
          <w:szCs w:val="20"/>
        </w:rPr>
        <w:t xml:space="preserve">. Retrieved from </w:t>
      </w:r>
      <w:hyperlink r:id="rId1">
        <w:r>
          <w:rPr>
            <w:color w:val="1155CC"/>
            <w:sz w:val="20"/>
            <w:szCs w:val="20"/>
            <w:u w:val="single"/>
          </w:rPr>
          <w:t>https://www.who.int/docs/default-source/coronaviruse/20200307-cccc-guidance-table-covid-19-final.pdf?sfvrsn=1c8ee193_10</w:t>
        </w:r>
      </w:hyperlink>
    </w:p>
  </w:footnote>
  <w:footnote w:id="2">
    <w:p w:rsidR="00DC1BF8" w:rsidRDefault="00061B8E">
      <w:pPr>
        <w:spacing w:after="0" w:line="240" w:lineRule="auto"/>
        <w:rPr>
          <w:sz w:val="20"/>
          <w:szCs w:val="20"/>
        </w:rPr>
      </w:pPr>
      <w:r>
        <w:rPr>
          <w:vertAlign w:val="superscript"/>
        </w:rPr>
        <w:footnoteRef/>
      </w:r>
      <w:r>
        <w:rPr>
          <w:sz w:val="20"/>
          <w:szCs w:val="20"/>
        </w:rPr>
        <w:t xml:space="preserve"> World Health Organization. (February 2020). </w:t>
      </w:r>
      <w:r>
        <w:rPr>
          <w:i/>
          <w:sz w:val="20"/>
          <w:szCs w:val="20"/>
        </w:rPr>
        <w:t>Rational use of personal protective equipment for coronavirus disease 2019 (COVID-19) - Interim Guidance as of 27 February 2020.</w:t>
      </w:r>
      <w:r>
        <w:rPr>
          <w:sz w:val="20"/>
          <w:szCs w:val="20"/>
        </w:rPr>
        <w:t xml:space="preserve"> Retrieved from </w:t>
      </w:r>
      <w:hyperlink r:id="rId2">
        <w:r>
          <w:rPr>
            <w:color w:val="1155CC"/>
            <w:sz w:val="20"/>
            <w:szCs w:val="20"/>
            <w:u w:val="single"/>
          </w:rPr>
          <w:t>https://apps.who.int/iris/bitstream/handle/10665/331215/WHO-2019-nCov-IPCPPE_use-2020.1-eng.pdf</w:t>
        </w:r>
      </w:hyperlink>
    </w:p>
  </w:footnote>
  <w:footnote w:id="3">
    <w:p w:rsidR="00DC1BF8" w:rsidRDefault="00061B8E">
      <w:pPr>
        <w:spacing w:after="0" w:line="276" w:lineRule="auto"/>
        <w:rPr>
          <w:rFonts w:ascii="Play" w:eastAsia="Play" w:hAnsi="Play" w:cs="Play"/>
          <w:sz w:val="24"/>
          <w:szCs w:val="24"/>
        </w:rPr>
      </w:pPr>
      <w:r>
        <w:rPr>
          <w:vertAlign w:val="superscript"/>
        </w:rPr>
        <w:footnoteRef/>
      </w:r>
      <w:r>
        <w:rPr>
          <w:sz w:val="24"/>
          <w:szCs w:val="24"/>
        </w:rPr>
        <w:t xml:space="preserve"> </w:t>
      </w:r>
      <w:r>
        <w:rPr>
          <w:rFonts w:ascii="Play" w:eastAsia="Play" w:hAnsi="Play" w:cs="Play"/>
          <w:sz w:val="24"/>
          <w:szCs w:val="24"/>
        </w:rPr>
        <w:t>The composite term ‘mental health and psychosocial support’ (MHPSS) is used in the Inter Agency Standing Committee (IASC) Guidelines for MHPSS in Emergency Settings to describe ‘any type of local or outside support that aims to protect or promote psychosocial well-being and/or prevent or treat mental health condition’.</w:t>
      </w:r>
    </w:p>
    <w:p w:rsidR="00DC1BF8" w:rsidRDefault="00DC1BF8">
      <w:pPr>
        <w:pBdr>
          <w:top w:val="nil"/>
          <w:left w:val="nil"/>
          <w:bottom w:val="nil"/>
          <w:right w:val="nil"/>
          <w:between w:val="nil"/>
        </w:pBdr>
        <w:spacing w:after="0" w:line="240" w:lineRule="auto"/>
        <w:rPr>
          <w:color w:val="000000"/>
          <w:sz w:val="24"/>
          <w:szCs w:val="24"/>
        </w:rPr>
      </w:pPr>
    </w:p>
  </w:footnote>
  <w:footnote w:id="4">
    <w:p w:rsidR="00DC1BF8" w:rsidRDefault="00061B8E">
      <w:pPr>
        <w:pBdr>
          <w:top w:val="nil"/>
          <w:left w:val="nil"/>
          <w:bottom w:val="nil"/>
          <w:right w:val="nil"/>
          <w:between w:val="nil"/>
        </w:pBdr>
        <w:spacing w:after="0" w:line="240" w:lineRule="auto"/>
        <w:rPr>
          <w:rFonts w:ascii="Play" w:eastAsia="Play" w:hAnsi="Play" w:cs="Play"/>
          <w:color w:val="000000"/>
          <w:sz w:val="24"/>
          <w:szCs w:val="24"/>
        </w:rPr>
      </w:pPr>
      <w:r>
        <w:rPr>
          <w:vertAlign w:val="superscript"/>
        </w:rPr>
        <w:footnoteRef/>
      </w:r>
      <w:r>
        <w:rPr>
          <w:color w:val="000000"/>
          <w:sz w:val="24"/>
          <w:szCs w:val="24"/>
        </w:rPr>
        <w:t xml:space="preserve"> </w:t>
      </w:r>
      <w:r>
        <w:rPr>
          <w:rFonts w:ascii="Play" w:eastAsia="Play" w:hAnsi="Play" w:cs="Play"/>
          <w:color w:val="000000"/>
          <w:sz w:val="24"/>
          <w:szCs w:val="24"/>
        </w:rPr>
        <w:t xml:space="preserve">International Rescue Committee (IRC) and International Medical Corps (IMC). (2020). </w:t>
      </w:r>
      <w:r>
        <w:rPr>
          <w:rFonts w:ascii="Play" w:eastAsia="Play" w:hAnsi="Play" w:cs="Play"/>
          <w:i/>
          <w:color w:val="000000"/>
          <w:sz w:val="24"/>
          <w:szCs w:val="24"/>
        </w:rPr>
        <w:t xml:space="preserve">Women and girls safe spaces: A toolkit for advancing women’s and girls’ empowerment in humanitarian settings. </w:t>
      </w:r>
      <w:r>
        <w:rPr>
          <w:rFonts w:ascii="Play" w:eastAsia="Play" w:hAnsi="Play" w:cs="Play"/>
          <w:color w:val="000000"/>
          <w:sz w:val="24"/>
          <w:szCs w:val="24"/>
        </w:rPr>
        <w:t xml:space="preserve">Retrieved from </w:t>
      </w:r>
      <w:hyperlink r:id="rId3">
        <w:r>
          <w:rPr>
            <w:rFonts w:ascii="Play" w:eastAsia="Play" w:hAnsi="Play" w:cs="Play"/>
            <w:color w:val="0000FF"/>
            <w:sz w:val="24"/>
            <w:szCs w:val="24"/>
            <w:u w:val="single"/>
          </w:rPr>
          <w:t>https://gbvaor.net/sites/default/files/2020-02/IRC-WGSS-Toolkit-Eng.pdf</w:t>
        </w:r>
      </w:hyperlink>
    </w:p>
    <w:p w:rsidR="00DC1BF8" w:rsidRDefault="00DC1BF8">
      <w:pPr>
        <w:pBdr>
          <w:top w:val="nil"/>
          <w:left w:val="nil"/>
          <w:bottom w:val="nil"/>
          <w:right w:val="nil"/>
          <w:between w:val="nil"/>
        </w:pBdr>
        <w:spacing w:after="0" w:line="240" w:lineRule="auto"/>
        <w:rPr>
          <w:rFonts w:ascii="Play" w:eastAsia="Play" w:hAnsi="Play" w:cs="Play"/>
          <w:color w:val="000000"/>
          <w:sz w:val="24"/>
          <w:szCs w:val="24"/>
        </w:rPr>
      </w:pPr>
    </w:p>
  </w:footnote>
  <w:footnote w:id="5">
    <w:p w:rsidR="00DC1BF8" w:rsidRDefault="00061B8E">
      <w:pPr>
        <w:pBdr>
          <w:top w:val="nil"/>
          <w:left w:val="nil"/>
          <w:bottom w:val="nil"/>
          <w:right w:val="nil"/>
          <w:between w:val="nil"/>
        </w:pBdr>
        <w:spacing w:after="0" w:line="240" w:lineRule="auto"/>
        <w:rPr>
          <w:color w:val="0000FF"/>
          <w:sz w:val="20"/>
          <w:szCs w:val="20"/>
          <w:u w:val="single"/>
        </w:rPr>
      </w:pPr>
      <w:r>
        <w:rPr>
          <w:vertAlign w:val="superscript"/>
        </w:rPr>
        <w:footnoteRef/>
      </w:r>
      <w:r>
        <w:rPr>
          <w:color w:val="000000"/>
          <w:sz w:val="20"/>
          <w:szCs w:val="20"/>
        </w:rPr>
        <w:t xml:space="preserve"> </w:t>
      </w:r>
      <w:r>
        <w:rPr>
          <w:rFonts w:ascii="Play" w:eastAsia="Play" w:hAnsi="Play" w:cs="Play"/>
          <w:color w:val="000000"/>
          <w:sz w:val="24"/>
          <w:szCs w:val="24"/>
        </w:rPr>
        <w:t xml:space="preserve">CARE. (2019). </w:t>
      </w:r>
      <w:r>
        <w:rPr>
          <w:rFonts w:ascii="Play" w:eastAsia="Play" w:hAnsi="Play" w:cs="Play"/>
          <w:i/>
          <w:color w:val="000000"/>
          <w:sz w:val="24"/>
          <w:szCs w:val="24"/>
        </w:rPr>
        <w:t xml:space="preserve">Cash and voucher assistance and gender-based violence compendium: Practical guidance for humanitarian practitioners (A companion guide to the IASC GBV Guidelines). </w:t>
      </w:r>
      <w:r>
        <w:rPr>
          <w:rFonts w:ascii="Play" w:eastAsia="Play" w:hAnsi="Play" w:cs="Play"/>
          <w:color w:val="000000"/>
          <w:sz w:val="24"/>
          <w:szCs w:val="24"/>
        </w:rPr>
        <w:t xml:space="preserve">Retrieved from </w:t>
      </w:r>
      <w:hyperlink r:id="rId4">
        <w:r>
          <w:rPr>
            <w:rFonts w:ascii="Play" w:eastAsia="Play" w:hAnsi="Play" w:cs="Play"/>
            <w:color w:val="0000FF"/>
            <w:sz w:val="24"/>
            <w:szCs w:val="24"/>
            <w:u w:val="single"/>
          </w:rPr>
          <w:t>https://gbvguidelines.org/wp/wp-content/uploads/2019/07/CVA_GBV-guidelines_compendium.FINAL_.pdf</w:t>
        </w:r>
      </w:hyperlink>
      <w:r>
        <w:rPr>
          <w:color w:val="0000FF"/>
          <w:sz w:val="20"/>
          <w:szCs w:val="20"/>
          <w:u w:val="single"/>
        </w:rPr>
        <w:t xml:space="preserve"> </w:t>
      </w:r>
    </w:p>
  </w:footnote>
  <w:footnote w:id="6">
    <w:p w:rsidR="00DC1BF8" w:rsidRDefault="00061B8E">
      <w:pPr>
        <w:spacing w:after="0" w:line="240" w:lineRule="auto"/>
        <w:rPr>
          <w:sz w:val="20"/>
          <w:szCs w:val="20"/>
        </w:rPr>
      </w:pPr>
      <w:r>
        <w:rPr>
          <w:vertAlign w:val="superscript"/>
        </w:rPr>
        <w:footnoteRef/>
      </w:r>
      <w:r>
        <w:rPr>
          <w:sz w:val="20"/>
          <w:szCs w:val="20"/>
        </w:rPr>
        <w:t xml:space="preserve">IASC Reference group for Mental Health and Psychosocial Support in Emergency Settings. (2020). </w:t>
      </w:r>
      <w:r>
        <w:rPr>
          <w:i/>
          <w:sz w:val="20"/>
          <w:szCs w:val="20"/>
        </w:rPr>
        <w:t xml:space="preserve">Briefing note on addressing mental health and psychosocial aspects of COVID-19 </w:t>
      </w:r>
      <w:proofErr w:type="spellStart"/>
      <w:r>
        <w:rPr>
          <w:i/>
          <w:sz w:val="20"/>
          <w:szCs w:val="20"/>
        </w:rPr>
        <w:t>OutbreakVersion</w:t>
      </w:r>
      <w:proofErr w:type="spellEnd"/>
      <w:r>
        <w:rPr>
          <w:i/>
          <w:sz w:val="20"/>
          <w:szCs w:val="20"/>
        </w:rPr>
        <w:t xml:space="preserve"> 1.1.</w:t>
      </w:r>
      <w:r>
        <w:rPr>
          <w:sz w:val="20"/>
          <w:szCs w:val="20"/>
        </w:rPr>
        <w:t xml:space="preserve"> Retrieved from </w:t>
      </w:r>
      <w:hyperlink r:id="rId5">
        <w:r>
          <w:rPr>
            <w:color w:val="1155CC"/>
            <w:sz w:val="20"/>
            <w:szCs w:val="20"/>
            <w:u w:val="single"/>
          </w:rPr>
          <w:t>https://app.mhpss.net/?get=354/mhpss-covid19-briefing-note-2-march-2020-english.pdf-version-1.1.pdf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8" w:rsidRDefault="00ED18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0626" o:spid="_x0000_s2050"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8" w:rsidRDefault="00ED18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0627" o:spid="_x0000_s2051"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8" w:rsidRDefault="00ED18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0625" o:spid="_x0000_s2049" type="#_x0000_t136" style="position:absolute;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D76BB"/>
    <w:multiLevelType w:val="multilevel"/>
    <w:tmpl w:val="8F7C1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262C66"/>
    <w:multiLevelType w:val="multilevel"/>
    <w:tmpl w:val="24FE7C9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N7A0NjMwsDA1tTRR0lEKTi0uzszPAykwqgUAnLGjcSwAAAA="/>
  </w:docVars>
  <w:rsids>
    <w:rsidRoot w:val="00DC1BF8"/>
    <w:rsid w:val="00061B8E"/>
    <w:rsid w:val="00096000"/>
    <w:rsid w:val="002A5FEC"/>
    <w:rsid w:val="003F7CA9"/>
    <w:rsid w:val="007257F7"/>
    <w:rsid w:val="00846576"/>
    <w:rsid w:val="00A040E8"/>
    <w:rsid w:val="00AA278B"/>
    <w:rsid w:val="00B02AC3"/>
    <w:rsid w:val="00C564EE"/>
    <w:rsid w:val="00D778F9"/>
    <w:rsid w:val="00DC1BF8"/>
    <w:rsid w:val="00E458FC"/>
    <w:rsid w:val="00ED18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2B0C513-111B-443E-BE96-CA79F92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F26A26"/>
    <w:pPr>
      <w:autoSpaceDE w:val="0"/>
      <w:autoSpaceDN w:val="0"/>
      <w:adjustRightInd w:val="0"/>
      <w:spacing w:after="0" w:line="240" w:lineRule="auto"/>
    </w:pPr>
    <w:rPr>
      <w:rFonts w:ascii="Montserrat" w:hAnsi="Montserrat" w:cs="Montserrat"/>
      <w:color w:val="000000"/>
      <w:sz w:val="24"/>
      <w:szCs w:val="24"/>
    </w:rPr>
  </w:style>
  <w:style w:type="paragraph" w:customStyle="1" w:styleId="Pa14">
    <w:name w:val="Pa14"/>
    <w:basedOn w:val="Default"/>
    <w:next w:val="Default"/>
    <w:uiPriority w:val="99"/>
    <w:rsid w:val="00F26A26"/>
    <w:pPr>
      <w:spacing w:line="181" w:lineRule="atLeast"/>
    </w:pPr>
    <w:rPr>
      <w:rFonts w:cstheme="minorBidi"/>
      <w:color w:val="auto"/>
    </w:rPr>
  </w:style>
  <w:style w:type="character" w:customStyle="1" w:styleId="A12">
    <w:name w:val="A12"/>
    <w:uiPriority w:val="99"/>
    <w:rsid w:val="00F26A26"/>
    <w:rPr>
      <w:rFonts w:cs="Montserrat"/>
      <w:color w:val="000000"/>
      <w:sz w:val="10"/>
      <w:szCs w:val="10"/>
    </w:rPr>
  </w:style>
  <w:style w:type="character" w:customStyle="1" w:styleId="A8">
    <w:name w:val="A8"/>
    <w:uiPriority w:val="99"/>
    <w:rsid w:val="00F26A26"/>
    <w:rPr>
      <w:rFonts w:cs="Montserrat"/>
      <w:color w:val="000000"/>
    </w:rPr>
  </w:style>
  <w:style w:type="character" w:customStyle="1" w:styleId="A10">
    <w:name w:val="A10"/>
    <w:uiPriority w:val="99"/>
    <w:rsid w:val="00F26A26"/>
    <w:rPr>
      <w:rFonts w:cs="Montserrat"/>
      <w:color w:val="000000"/>
      <w:sz w:val="18"/>
      <w:szCs w:val="18"/>
      <w:u w:val="single"/>
    </w:rPr>
  </w:style>
  <w:style w:type="table" w:styleId="TableGrid">
    <w:name w:val="Table Grid"/>
    <w:basedOn w:val="TableNormal"/>
    <w:uiPriority w:val="39"/>
    <w:rsid w:val="009A0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A0C0C"/>
    <w:pPr>
      <w:spacing w:after="0" w:line="240" w:lineRule="auto"/>
    </w:pPr>
    <w:rPr>
      <w:sz w:val="20"/>
      <w:szCs w:val="25"/>
    </w:rPr>
  </w:style>
  <w:style w:type="character" w:customStyle="1" w:styleId="EndnoteTextChar">
    <w:name w:val="Endnote Text Char"/>
    <w:basedOn w:val="DefaultParagraphFont"/>
    <w:link w:val="EndnoteText"/>
    <w:uiPriority w:val="99"/>
    <w:semiHidden/>
    <w:rsid w:val="009A0C0C"/>
    <w:rPr>
      <w:sz w:val="20"/>
      <w:szCs w:val="25"/>
    </w:rPr>
  </w:style>
  <w:style w:type="character" w:styleId="EndnoteReference">
    <w:name w:val="endnote reference"/>
    <w:basedOn w:val="DefaultParagraphFont"/>
    <w:uiPriority w:val="99"/>
    <w:semiHidden/>
    <w:unhideWhenUsed/>
    <w:rsid w:val="009A0C0C"/>
    <w:rPr>
      <w:vertAlign w:val="superscript"/>
    </w:rPr>
  </w:style>
  <w:style w:type="paragraph" w:styleId="Header">
    <w:name w:val="header"/>
    <w:basedOn w:val="Normal"/>
    <w:link w:val="HeaderChar"/>
    <w:uiPriority w:val="99"/>
    <w:unhideWhenUsed/>
    <w:rsid w:val="00757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05"/>
  </w:style>
  <w:style w:type="paragraph" w:styleId="Footer">
    <w:name w:val="footer"/>
    <w:basedOn w:val="Normal"/>
    <w:link w:val="FooterChar"/>
    <w:uiPriority w:val="99"/>
    <w:unhideWhenUsed/>
    <w:rsid w:val="00757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05"/>
  </w:style>
  <w:style w:type="paragraph" w:styleId="ListParagraph">
    <w:name w:val="List Paragraph"/>
    <w:basedOn w:val="Normal"/>
    <w:uiPriority w:val="34"/>
    <w:qFormat/>
    <w:rsid w:val="00B065FC"/>
    <w:pPr>
      <w:ind w:left="720"/>
      <w:contextualSpacing/>
    </w:pPr>
  </w:style>
  <w:style w:type="character" w:styleId="Hyperlink">
    <w:name w:val="Hyperlink"/>
    <w:basedOn w:val="DefaultParagraphFont"/>
    <w:uiPriority w:val="99"/>
    <w:semiHidden/>
    <w:unhideWhenUsed/>
    <w:rsid w:val="00473760"/>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gbvaor.net/sites/default/files/2020-02/IRC-WGSS-Toolkit-Eng.pdf" TargetMode="External"/><Relationship Id="rId2" Type="http://schemas.openxmlformats.org/officeDocument/2006/relationships/hyperlink" Target="https://apps.who.int/iris/bitstream/handle/10665/331215/WHO-2019-nCov-IPCPPE_use-2020.1-eng.pdf" TargetMode="External"/><Relationship Id="rId1" Type="http://schemas.openxmlformats.org/officeDocument/2006/relationships/hyperlink" Target="https://www.who.int/docs/default-source/coronaviruse/20200307-cccc-guidance-table-covid-19-final.pdf?sfvrsn=1c8ee193_10" TargetMode="External"/><Relationship Id="rId5" Type="http://schemas.openxmlformats.org/officeDocument/2006/relationships/hyperlink" Target="https://app.mhpss.net/?get=354/mhpss-covid19-briefing-note-2-march-2020-english.pdf-version-1.1.pdf" TargetMode="External"/><Relationship Id="rId4" Type="http://schemas.openxmlformats.org/officeDocument/2006/relationships/hyperlink" Target="https://gbvguidelines.org/wp/wp-content/uploads/2019/07/CVA_GBV-guidelines_compendium.FINAL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RloB1/JoWCFOOQ7Ecczs1RlnLA==">AMUW2mVQ5whF4vkj38YyezsGo3bwArr0rhrThQpxtLf+H680Br5/mriFYRkz7GGe99Hrx/gvGXdDUtCLkr2H+NWAGaSOwKPwH1SWLlabHj6WWgaCXdzQcmnt392IwjLgjd8BC/voirRkB73ZV4jcMY8WiVlSn/J6Le/yOyHFI6HbHA8i8txEBAxNl7++hGLYx4mXKkGGUrBc9fXhGcTm8tnEl1s5QBBiDQ==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3B9F93-3932-4233-9A5A-9188CC90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Marie Godoy</dc:creator>
  <cp:lastModifiedBy>Pamela Marie Godoy</cp:lastModifiedBy>
  <cp:revision>5</cp:revision>
  <dcterms:created xsi:type="dcterms:W3CDTF">2020-03-19T09:38:00Z</dcterms:created>
  <dcterms:modified xsi:type="dcterms:W3CDTF">2020-03-23T15:48:00Z</dcterms:modified>
</cp:coreProperties>
</file>